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spacing w:lineRule="auto" w:line="276"/>
        <w:ind w:right="-3" w:hanging="0"/>
        <w:jc w:val="center"/>
        <w:rPr>
          <w:b/>
          <w:b/>
          <w:bCs/>
          <w:sz w:val="22"/>
          <w:szCs w:val="22"/>
        </w:rPr>
      </w:pPr>
      <w:r>
        <w:rPr>
          <w:b/>
          <w:bCs/>
          <w:sz w:val="22"/>
          <w:szCs w:val="22"/>
        </w:rPr>
        <w:t>ДОГОВОР № ДДУ/ЮК-3__</w:t>
      </w:r>
    </w:p>
    <w:p>
      <w:pPr>
        <w:pStyle w:val="Normal"/>
        <w:tabs>
          <w:tab w:val="clear" w:pos="708"/>
          <w:tab w:val="left" w:pos="0" w:leader="none"/>
        </w:tabs>
        <w:spacing w:lineRule="auto" w:line="276"/>
        <w:ind w:right="-3" w:hanging="0"/>
        <w:jc w:val="center"/>
        <w:rPr>
          <w:b/>
          <w:b/>
          <w:bCs/>
          <w:sz w:val="22"/>
          <w:szCs w:val="22"/>
        </w:rPr>
      </w:pPr>
      <w:r>
        <w:rPr>
          <w:b/>
          <w:bCs/>
          <w:sz w:val="22"/>
          <w:szCs w:val="22"/>
        </w:rPr>
        <w:t>об участии в долевом строительстве многоквартирного дома по строительному адресу: Московская область, Раменский район, с.п. Островецкое, д. Островцы, мкр. «Новые Островцы», «Южный квартал», поз. 3</w:t>
      </w:r>
    </w:p>
    <w:p>
      <w:pPr>
        <w:pStyle w:val="Normal"/>
        <w:tabs>
          <w:tab w:val="clear" w:pos="708"/>
          <w:tab w:val="left" w:pos="0" w:leader="none"/>
        </w:tabs>
        <w:spacing w:lineRule="auto" w:line="276"/>
        <w:ind w:right="-3" w:hanging="0"/>
        <w:jc w:val="both"/>
        <w:rPr>
          <w:b/>
          <w:b/>
          <w:bCs/>
          <w:sz w:val="22"/>
          <w:szCs w:val="22"/>
        </w:rPr>
      </w:pPr>
      <w:r>
        <w:rPr>
          <w:b/>
          <w:bCs/>
          <w:sz w:val="22"/>
          <w:szCs w:val="22"/>
        </w:rPr>
      </w:r>
    </w:p>
    <w:tbl>
      <w:tblPr>
        <w:tblW w:w="10454" w:type="dxa"/>
        <w:jc w:val="left"/>
        <w:tblInd w:w="3" w:type="dxa"/>
        <w:tblLayout w:type="fixed"/>
        <w:tblCellMar>
          <w:top w:w="0" w:type="dxa"/>
          <w:left w:w="108" w:type="dxa"/>
          <w:bottom w:w="0" w:type="dxa"/>
          <w:right w:w="108" w:type="dxa"/>
        </w:tblCellMar>
        <w:tblLook w:val="0000"/>
      </w:tblPr>
      <w:tblGrid>
        <w:gridCol w:w="4692"/>
        <w:gridCol w:w="5761"/>
      </w:tblGrid>
      <w:tr>
        <w:trPr>
          <w:trHeight w:val="1" w:hRule="atLeast"/>
        </w:trPr>
        <w:tc>
          <w:tcPr>
            <w:tcW w:w="4692" w:type="dxa"/>
            <w:tcBorders/>
            <w:shd w:color="000000" w:fill="auto" w:val="clear"/>
          </w:tcPr>
          <w:p>
            <w:pPr>
              <w:pStyle w:val="Normal"/>
              <w:widowControl w:val="false"/>
              <w:spacing w:lineRule="auto" w:line="276"/>
              <w:ind w:right="-3" w:hanging="0"/>
              <w:rPr>
                <w:sz w:val="22"/>
                <w:szCs w:val="22"/>
              </w:rPr>
            </w:pPr>
            <w:r>
              <w:rPr>
                <w:sz w:val="22"/>
                <w:szCs w:val="22"/>
              </w:rPr>
              <w:t>Московская область,  Раменский район,</w:t>
            </w:r>
          </w:p>
          <w:p>
            <w:pPr>
              <w:pStyle w:val="Normal"/>
              <w:widowControl w:val="false"/>
              <w:spacing w:lineRule="auto" w:line="276"/>
              <w:ind w:right="-3" w:hanging="0"/>
              <w:rPr>
                <w:sz w:val="22"/>
                <w:szCs w:val="22"/>
              </w:rPr>
            </w:pPr>
            <w:r>
              <w:rPr>
                <w:sz w:val="22"/>
                <w:szCs w:val="22"/>
              </w:rPr>
              <w:t>Микрорайон «Новые Островцы»</w:t>
            </w:r>
          </w:p>
        </w:tc>
        <w:tc>
          <w:tcPr>
            <w:tcW w:w="5761" w:type="dxa"/>
            <w:tcBorders/>
            <w:shd w:color="000000" w:fill="auto" w:val="clear"/>
          </w:tcPr>
          <w:p>
            <w:pPr>
              <w:pStyle w:val="Normal"/>
              <w:widowControl w:val="false"/>
              <w:spacing w:lineRule="auto" w:line="276"/>
              <w:ind w:right="-3" w:hanging="0"/>
              <w:jc w:val="right"/>
              <w:rPr>
                <w:sz w:val="22"/>
                <w:szCs w:val="22"/>
              </w:rPr>
            </w:pPr>
            <w:r>
              <w:rPr>
                <w:sz w:val="21"/>
                <w:szCs w:val="21"/>
              </w:rPr>
              <w:t xml:space="preserve">«__» _____________202_ года              </w:t>
            </w:r>
          </w:p>
        </w:tc>
      </w:tr>
    </w:tbl>
    <w:p>
      <w:pPr>
        <w:pStyle w:val="Normal"/>
        <w:spacing w:before="0" w:after="0"/>
        <w:ind w:firstLine="708"/>
        <w:contextualSpacing/>
        <w:jc w:val="both"/>
        <w:rPr>
          <w:b/>
          <w:b/>
          <w:sz w:val="22"/>
          <w:szCs w:val="22"/>
        </w:rPr>
      </w:pPr>
      <w:r>
        <w:rPr>
          <w:b/>
          <w:sz w:val="22"/>
          <w:szCs w:val="22"/>
        </w:rPr>
      </w:r>
    </w:p>
    <w:p>
      <w:pPr>
        <w:pStyle w:val="Normal"/>
        <w:spacing w:before="0" w:after="0"/>
        <w:ind w:firstLine="708"/>
        <w:contextualSpacing/>
        <w:jc w:val="both"/>
        <w:rPr>
          <w:sz w:val="22"/>
          <w:szCs w:val="22"/>
        </w:rPr>
      </w:pPr>
      <w:r>
        <w:rPr>
          <w:b/>
          <w:sz w:val="22"/>
          <w:szCs w:val="22"/>
        </w:rPr>
        <w:t>Общество с ограниченной ответственностью «МОНОЛИТ-СТРОЙ»</w:t>
      </w:r>
      <w:r>
        <w:rPr>
          <w:sz w:val="22"/>
          <w:szCs w:val="22"/>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Pr>
          <w:b/>
          <w:bCs/>
          <w:sz w:val="22"/>
          <w:szCs w:val="22"/>
        </w:rPr>
        <w:t>«Застройщик»</w:t>
      </w:r>
      <w:r>
        <w:rPr>
          <w:sz w:val="22"/>
          <w:szCs w:val="22"/>
        </w:rPr>
        <w:t xml:space="preserve">, в лице Осадовой Натальи Евгеньевны, действующей на основании Доверенности 50 АБ 5118059 от 23.10.2020г., удостоверенной Соломиной Л.И., временно исполняющей обязанности нотариуса Одинцовского нотариального округа Московской области Кулаковой О.В., зарегистрированной в реестре за № 50/155-н/50-2020-1-1141 с одной стороны, </w:t>
      </w:r>
    </w:p>
    <w:p>
      <w:pPr>
        <w:pStyle w:val="Normal"/>
        <w:spacing w:before="0" w:after="0"/>
        <w:ind w:firstLine="708"/>
        <w:contextualSpacing/>
        <w:jc w:val="center"/>
        <w:rPr>
          <w:sz w:val="22"/>
          <w:szCs w:val="22"/>
        </w:rPr>
      </w:pPr>
      <w:r>
        <w:rPr>
          <w:sz w:val="22"/>
          <w:szCs w:val="22"/>
        </w:rPr>
        <w:t>-и-</w:t>
      </w:r>
    </w:p>
    <w:p>
      <w:pPr>
        <w:pStyle w:val="Normal"/>
        <w:spacing w:lineRule="auto" w:line="276"/>
        <w:jc w:val="both"/>
        <w:rPr>
          <w:sz w:val="21"/>
          <w:szCs w:val="21"/>
        </w:rPr>
      </w:pPr>
      <w:r>
        <w:rPr>
          <w:b/>
          <w:sz w:val="21"/>
          <w:szCs w:val="21"/>
        </w:rPr>
        <w:t xml:space="preserve">Гражданин(ка) РФ </w:t>
      </w:r>
      <w:r>
        <w:rPr>
          <w:b/>
          <w:bCs/>
          <w:sz w:val="21"/>
          <w:szCs w:val="21"/>
        </w:rPr>
        <w:t>______</w:t>
      </w:r>
      <w:r>
        <w:rPr>
          <w:b/>
          <w:sz w:val="21"/>
          <w:szCs w:val="21"/>
        </w:rPr>
        <w:t>,</w:t>
      </w:r>
      <w:r>
        <w:rPr>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зарегистрированный(ая) по адресу: ______,</w:t>
      </w:r>
      <w:r>
        <w:rPr>
          <w:b/>
          <w:bCs/>
          <w:sz w:val="21"/>
          <w:szCs w:val="21"/>
        </w:rPr>
        <w:t xml:space="preserve"> </w:t>
      </w:r>
      <w:r>
        <w:rPr>
          <w:sz w:val="21"/>
          <w:szCs w:val="21"/>
        </w:rPr>
        <w:t xml:space="preserve">именуемый(ая) в дальнейшем </w:t>
      </w:r>
      <w:r>
        <w:rPr>
          <w:b/>
          <w:sz w:val="21"/>
          <w:szCs w:val="21"/>
        </w:rPr>
        <w:t>«Участник долевого строительства»</w:t>
      </w:r>
      <w:r>
        <w:rPr>
          <w:sz w:val="21"/>
          <w:szCs w:val="21"/>
        </w:rPr>
        <w:t xml:space="preserve">, с другой стороны, совместно именуемые в дальнейшем </w:t>
      </w:r>
      <w:r>
        <w:rPr>
          <w:b/>
          <w:sz w:val="21"/>
          <w:szCs w:val="21"/>
        </w:rPr>
        <w:t>«Стороны»</w:t>
      </w:r>
      <w:r>
        <w:rPr>
          <w:sz w:val="21"/>
          <w:szCs w:val="21"/>
        </w:rPr>
        <w:t xml:space="preserve">, заключили настоящий Договор участия в  долевом строительстве (далее по тексту – </w:t>
      </w:r>
      <w:r>
        <w:rPr>
          <w:b/>
          <w:sz w:val="21"/>
          <w:szCs w:val="21"/>
        </w:rPr>
        <w:t>«Договор»</w:t>
      </w:r>
      <w:r>
        <w:rPr>
          <w:sz w:val="21"/>
          <w:szCs w:val="21"/>
        </w:rPr>
        <w:t>) о нижеследующем:</w:t>
      </w:r>
    </w:p>
    <w:p>
      <w:pPr>
        <w:pStyle w:val="Normal"/>
        <w:numPr>
          <w:ilvl w:val="0"/>
          <w:numId w:val="1"/>
        </w:numPr>
        <w:spacing w:before="0" w:after="0"/>
        <w:ind w:left="0" w:firstLine="708"/>
        <w:contextualSpacing/>
        <w:jc w:val="center"/>
        <w:rPr>
          <w:b/>
          <w:b/>
          <w:bCs/>
          <w:sz w:val="22"/>
          <w:szCs w:val="22"/>
        </w:rPr>
      </w:pPr>
      <w:r>
        <w:rPr>
          <w:b/>
          <w:bCs/>
          <w:sz w:val="22"/>
          <w:szCs w:val="22"/>
        </w:rPr>
        <w:t>ТЕРМИНЫ И ОПРЕДЕЛЕНИЯ</w:t>
      </w:r>
    </w:p>
    <w:p>
      <w:pPr>
        <w:pStyle w:val="Normal"/>
        <w:spacing w:before="0" w:after="0"/>
        <w:ind w:firstLine="708"/>
        <w:contextualSpacing/>
        <w:jc w:val="both"/>
        <w:rPr>
          <w:b/>
          <w:b/>
          <w:bCs/>
          <w:sz w:val="22"/>
          <w:szCs w:val="22"/>
        </w:rPr>
      </w:pPr>
      <w:r>
        <w:rPr>
          <w:bCs/>
          <w:sz w:val="22"/>
          <w:szCs w:val="22"/>
        </w:rPr>
        <w:t>1.1.</w:t>
      </w:r>
      <w:r>
        <w:rPr>
          <w:b/>
          <w:bCs/>
          <w:sz w:val="22"/>
          <w:szCs w:val="22"/>
        </w:rPr>
        <w:t>Объект недвижимости</w:t>
      </w:r>
      <w:r>
        <w:rPr>
          <w:sz w:val="22"/>
          <w:szCs w:val="22"/>
        </w:rPr>
        <w:t xml:space="preserve"> – 17-этажный 2-секционный многоквартирный жилой дом, возводимый по строительному адресу: </w:t>
      </w:r>
      <w:r>
        <w:rPr>
          <w:b/>
          <w:bCs/>
          <w:sz w:val="22"/>
          <w:szCs w:val="22"/>
        </w:rPr>
        <w:t>Московская область, Раменский район, с.п. Островецкое, д. Островцы, мкр. «Новые Островцы», «Южный квартал», поз. 3 (</w:t>
      </w:r>
      <w:r>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2"/>
          <w:szCs w:val="22"/>
        </w:rPr>
        <w:t xml:space="preserve">). </w:t>
      </w:r>
    </w:p>
    <w:p>
      <w:pPr>
        <w:pStyle w:val="Normal"/>
        <w:spacing w:before="0" w:after="0"/>
        <w:ind w:firstLine="708"/>
        <w:contextualSpacing/>
        <w:jc w:val="both"/>
        <w:rPr>
          <w:sz w:val="22"/>
          <w:szCs w:val="22"/>
        </w:rPr>
      </w:pPr>
      <w:r>
        <w:rPr>
          <w:sz w:val="22"/>
          <w:szCs w:val="22"/>
        </w:rPr>
        <w:t>Указанный объект включает 192 квартиры, жилой площадью, с лоджиями</w:t>
      </w:r>
      <w:r>
        <w:rPr>
          <w:b/>
          <w:color w:val="FF0000"/>
          <w:sz w:val="22"/>
          <w:szCs w:val="22"/>
        </w:rPr>
        <w:t xml:space="preserve"> </w:t>
      </w:r>
      <w:r>
        <w:rPr>
          <w:sz w:val="22"/>
          <w:szCs w:val="22"/>
        </w:rPr>
        <w:t>6671,36 кв.м. и 6 нежилых помещений, общей площадью 439,78  кв.м.</w:t>
      </w:r>
    </w:p>
    <w:p>
      <w:pPr>
        <w:pStyle w:val="Normal"/>
        <w:widowControl w:val="false"/>
        <w:spacing w:before="0" w:after="0"/>
        <w:ind w:firstLine="708"/>
        <w:contextualSpacing/>
        <w:jc w:val="both"/>
        <w:rPr>
          <w:sz w:val="22"/>
          <w:szCs w:val="22"/>
        </w:rPr>
      </w:pPr>
      <w:r>
        <w:rPr>
          <w:sz w:val="22"/>
          <w:szCs w:val="22"/>
        </w:rPr>
        <w:t xml:space="preserve">1.2. Сведения о строящемся жилом доме в соответствии с проектной документацией: </w:t>
      </w:r>
    </w:p>
    <w:p>
      <w:pPr>
        <w:pStyle w:val="Normal"/>
        <w:widowControl w:val="false"/>
        <w:spacing w:before="0" w:after="0"/>
        <w:ind w:firstLine="708"/>
        <w:contextualSpacing/>
        <w:jc w:val="both"/>
        <w:rPr>
          <w:sz w:val="22"/>
          <w:szCs w:val="22"/>
        </w:rPr>
      </w:pPr>
      <w:r>
        <w:rPr>
          <w:sz w:val="22"/>
          <w:szCs w:val="22"/>
        </w:rPr>
        <w:t>- Общая площадь объекта 11 640,44</w:t>
      </w:r>
      <w:r>
        <w:rPr>
          <w:b/>
          <w:sz w:val="22"/>
          <w:szCs w:val="22"/>
        </w:rPr>
        <w:t xml:space="preserve"> </w:t>
      </w:r>
      <w:r>
        <w:rPr>
          <w:sz w:val="22"/>
          <w:szCs w:val="22"/>
        </w:rPr>
        <w:t>кв.м.</w:t>
      </w:r>
    </w:p>
    <w:p>
      <w:pPr>
        <w:pStyle w:val="Normal"/>
        <w:widowControl w:val="false"/>
        <w:spacing w:before="0" w:after="0"/>
        <w:ind w:firstLine="708"/>
        <w:contextualSpacing/>
        <w:jc w:val="both"/>
        <w:rPr>
          <w:sz w:val="22"/>
          <w:szCs w:val="22"/>
        </w:rPr>
      </w:pPr>
      <w:r>
        <w:rPr>
          <w:sz w:val="22"/>
          <w:szCs w:val="22"/>
        </w:rPr>
        <w:t>- Класс энергоэффективности А+ (Высочайший).</w:t>
      </w:r>
    </w:p>
    <w:p>
      <w:pPr>
        <w:pStyle w:val="Normal"/>
        <w:widowControl w:val="false"/>
        <w:spacing w:before="0" w:after="0"/>
        <w:ind w:firstLine="708"/>
        <w:contextualSpacing/>
        <w:jc w:val="both"/>
        <w:rPr>
          <w:sz w:val="22"/>
          <w:szCs w:val="22"/>
        </w:rPr>
      </w:pPr>
      <w:r>
        <w:rPr>
          <w:sz w:val="22"/>
          <w:szCs w:val="22"/>
        </w:rPr>
        <w:t>- Класс сейсмостойкости Класс 6 (С).</w:t>
      </w:r>
    </w:p>
    <w:p>
      <w:pPr>
        <w:pStyle w:val="Normal"/>
        <w:widowControl w:val="false"/>
        <w:spacing w:before="0" w:after="0"/>
        <w:ind w:firstLine="708"/>
        <w:contextualSpacing/>
        <w:jc w:val="both"/>
        <w:rPr>
          <w:sz w:val="22"/>
          <w:szCs w:val="22"/>
        </w:rPr>
      </w:pPr>
      <w:r>
        <w:rPr>
          <w:sz w:val="22"/>
          <w:szCs w:val="22"/>
        </w:rPr>
        <w:t>- Материал наружных стен и каркаса объекта:</w:t>
      </w:r>
    </w:p>
    <w:p>
      <w:pPr>
        <w:pStyle w:val="Normal"/>
        <w:widowControl w:val="false"/>
        <w:spacing w:before="0" w:after="0"/>
        <w:ind w:firstLine="708"/>
        <w:contextualSpacing/>
        <w:jc w:val="both"/>
        <w:rPr>
          <w:sz w:val="22"/>
          <w:szCs w:val="22"/>
        </w:rPr>
      </w:pPr>
      <w:r>
        <w:rPr>
          <w:sz w:val="22"/>
          <w:szCs w:val="22"/>
        </w:rPr>
        <w:t>- Каркас монолитный железобетонный</w:t>
      </w:r>
    </w:p>
    <w:p>
      <w:pPr>
        <w:pStyle w:val="Normal"/>
        <w:widowControl w:val="false"/>
        <w:spacing w:before="0" w:after="0"/>
        <w:ind w:firstLine="708"/>
        <w:contextualSpacing/>
        <w:jc w:val="both"/>
        <w:rPr>
          <w:sz w:val="22"/>
          <w:szCs w:val="22"/>
        </w:rPr>
      </w:pPr>
      <w:r>
        <w:rPr>
          <w:sz w:val="22"/>
          <w:szCs w:val="22"/>
        </w:rPr>
        <w:t>- Наружные стены из мелкоштучных каменных материалов (ячеистобетонные блоки), с утеплением из минераловатных плит, декоративной штукатуркой и окраской  фасадными красками.</w:t>
      </w:r>
    </w:p>
    <w:p>
      <w:pPr>
        <w:pStyle w:val="Normal"/>
        <w:widowControl w:val="false"/>
        <w:spacing w:before="0" w:after="0"/>
        <w:ind w:firstLine="708"/>
        <w:contextualSpacing/>
        <w:jc w:val="both"/>
        <w:rPr>
          <w:sz w:val="22"/>
          <w:szCs w:val="22"/>
        </w:rPr>
      </w:pPr>
      <w:r>
        <w:rPr>
          <w:sz w:val="22"/>
          <w:szCs w:val="22"/>
        </w:rPr>
        <w:t>- Материал перекрытий: Монолитные железобетонные.</w:t>
      </w:r>
    </w:p>
    <w:p>
      <w:pPr>
        <w:pStyle w:val="Normal"/>
        <w:spacing w:before="0" w:after="0"/>
        <w:ind w:firstLine="708"/>
        <w:contextualSpacing/>
        <w:jc w:val="both"/>
        <w:rPr>
          <w:sz w:val="22"/>
          <w:szCs w:val="22"/>
        </w:rPr>
      </w:pPr>
      <w:r>
        <w:rPr>
          <w:sz w:val="22"/>
          <w:szCs w:val="22"/>
        </w:rPr>
        <w:t>1.3.Строительство Объекта недвижимости осуществляется на следующем земельном участке:</w:t>
      </w:r>
    </w:p>
    <w:p>
      <w:pPr>
        <w:pStyle w:val="Normal"/>
        <w:spacing w:before="0" w:after="0"/>
        <w:ind w:firstLine="708"/>
        <w:contextualSpacing/>
        <w:jc w:val="both"/>
        <w:rPr>
          <w:color w:val="FF0000"/>
          <w:sz w:val="22"/>
          <w:szCs w:val="22"/>
        </w:rPr>
      </w:pPr>
      <w:r>
        <w:rPr>
          <w:sz w:val="22"/>
          <w:szCs w:val="22"/>
        </w:rPr>
        <w:t xml:space="preserve">   </w:t>
      </w:r>
      <w:r>
        <w:rPr>
          <w:sz w:val="22"/>
          <w:szCs w:val="22"/>
        </w:rPr>
        <w:t>-на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Московская область, Раменский район, Островецкий с/о, ЗАО Агрофирма «Подмосковное», уч. 1, уч. 2, уч. 3, уч. 4, уч. 5, уч. 6, принадлежащем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 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уступке произведена Управлением Федеральной службы государственной регистрации, кадастра и картографии по Московской области   от 16.11.2020 года за номером № 50:23:0030155:70-50/145/2020-3).</w:t>
      </w:r>
    </w:p>
    <w:p>
      <w:pPr>
        <w:pStyle w:val="Normal"/>
        <w:spacing w:before="0" w:after="0"/>
        <w:ind w:firstLine="708"/>
        <w:contextualSpacing/>
        <w:jc w:val="both"/>
        <w:rPr>
          <w:sz w:val="22"/>
          <w:szCs w:val="22"/>
        </w:rPr>
      </w:pPr>
      <w:r>
        <w:rPr>
          <w:sz w:val="22"/>
          <w:szCs w:val="22"/>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pPr>
        <w:pStyle w:val="ListParagraph"/>
        <w:ind w:left="142" w:firstLine="708"/>
        <w:jc w:val="both"/>
        <w:rPr>
          <w:sz w:val="22"/>
          <w:szCs w:val="22"/>
        </w:rPr>
      </w:pPr>
      <w:r>
        <w:rPr>
          <w:bCs/>
          <w:sz w:val="22"/>
          <w:szCs w:val="22"/>
        </w:rPr>
        <w:t>1.4.</w:t>
      </w:r>
      <w:r>
        <w:rPr>
          <w:b/>
          <w:bCs/>
          <w:sz w:val="22"/>
          <w:szCs w:val="22"/>
        </w:rPr>
        <w:t>Объект долевого строительства</w:t>
      </w:r>
      <w:r>
        <w:rPr>
          <w:bCs/>
          <w:sz w:val="22"/>
          <w:szCs w:val="22"/>
        </w:rPr>
        <w:t xml:space="preserve"> </w:t>
      </w:r>
      <w:r>
        <w:rPr>
          <w:sz w:val="22"/>
          <w:szCs w:val="22"/>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pPr>
        <w:pStyle w:val="Normal"/>
        <w:spacing w:before="0" w:after="0"/>
        <w:ind w:firstLine="708"/>
        <w:contextualSpacing/>
        <w:jc w:val="both"/>
        <w:rPr>
          <w:sz w:val="22"/>
          <w:szCs w:val="22"/>
        </w:rPr>
      </w:pPr>
      <w:r>
        <w:rPr>
          <w:sz w:val="22"/>
          <w:szCs w:val="22"/>
        </w:rPr>
        <w:t>План поэтажного расположения Объекта долевого строительства является неотъемлемой частью Договора.</w:t>
      </w:r>
    </w:p>
    <w:p>
      <w:pPr>
        <w:pStyle w:val="Normal"/>
        <w:spacing w:before="0" w:after="0"/>
        <w:ind w:firstLine="708"/>
        <w:contextualSpacing/>
        <w:jc w:val="both"/>
        <w:rPr>
          <w:sz w:val="22"/>
          <w:szCs w:val="22"/>
        </w:rPr>
      </w:pPr>
      <w:r>
        <w:rPr>
          <w:sz w:val="22"/>
          <w:szCs w:val="22"/>
        </w:rPr>
        <w:t>Общая площадь Квартиры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pPr>
        <w:pStyle w:val="Normal"/>
        <w:spacing w:before="0" w:after="0"/>
        <w:ind w:firstLine="708"/>
        <w:contextualSpacing/>
        <w:jc w:val="both"/>
        <w:rPr>
          <w:sz w:val="22"/>
          <w:szCs w:val="22"/>
        </w:rPr>
      </w:pPr>
      <w:r>
        <w:rPr>
          <w:sz w:val="22"/>
          <w:szCs w:val="22"/>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w:t>
      </w:r>
      <w:r>
        <w:rPr>
          <w:color w:val="FF0000"/>
          <w:sz w:val="22"/>
          <w:szCs w:val="22"/>
        </w:rPr>
        <w:t xml:space="preserve"> 2</w:t>
      </w:r>
      <w:r>
        <w:rPr>
          <w:sz w:val="22"/>
          <w:szCs w:val="22"/>
        </w:rPr>
        <w:t xml:space="preserve"> к Договору.</w:t>
      </w:r>
    </w:p>
    <w:p>
      <w:pPr>
        <w:pStyle w:val="Normal"/>
        <w:spacing w:before="0" w:after="0"/>
        <w:ind w:firstLine="708"/>
        <w:contextualSpacing/>
        <w:jc w:val="both"/>
        <w:rPr>
          <w:sz w:val="22"/>
          <w:szCs w:val="22"/>
        </w:rPr>
      </w:pPr>
      <w:r>
        <w:rPr>
          <w:sz w:val="22"/>
          <w:szCs w:val="22"/>
        </w:rPr>
        <w:t>1.5.</w:t>
      </w:r>
      <w:r>
        <w:rPr>
          <w:sz w:val="22"/>
          <w:szCs w:val="22"/>
          <w:lang w:val="en-US"/>
        </w:rPr>
        <w:t> </w:t>
      </w:r>
      <w:r>
        <w:rPr>
          <w:b/>
          <w:bCs/>
          <w:sz w:val="22"/>
          <w:szCs w:val="22"/>
        </w:rPr>
        <w:t>Застройщик</w:t>
      </w:r>
      <w:r>
        <w:rPr>
          <w:sz w:val="22"/>
          <w:szCs w:val="22"/>
        </w:rPr>
        <w:t xml:space="preserve"> – Общество с ограниченной ответственностью «МОНОЛИТ-СТРОЙ», владеющее земельным участком, указанным в пункте 1.3. Договора, и привлекающее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информацию о проекте строительства Объекта недвижимости, размещена в информационно-телекоммуникационной сети общего пользования «Интернет»: http://</w:t>
      </w:r>
      <w:hyperlink r:id="rId2">
        <w:r>
          <w:rPr>
            <w:color w:val="auto"/>
            <w:sz w:val="22"/>
            <w:szCs w:val="22"/>
          </w:rPr>
          <w:t>monolit-str.ru</w:t>
        </w:r>
      </w:hyperlink>
      <w:r>
        <w:rPr>
          <w:sz w:val="22"/>
          <w:szCs w:val="22"/>
        </w:rPr>
        <w:t>/.</w:t>
      </w:r>
    </w:p>
    <w:p>
      <w:pPr>
        <w:pStyle w:val="Normal"/>
        <w:spacing w:before="0" w:after="0"/>
        <w:ind w:firstLine="708"/>
        <w:contextualSpacing/>
        <w:jc w:val="both"/>
        <w:rPr>
          <w:sz w:val="22"/>
          <w:szCs w:val="22"/>
        </w:rPr>
      </w:pPr>
      <w:r>
        <w:rPr>
          <w:sz w:val="22"/>
          <w:szCs w:val="22"/>
        </w:rPr>
        <w:t>1.6.</w:t>
      </w:r>
      <w:r>
        <w:rPr>
          <w:sz w:val="22"/>
          <w:szCs w:val="22"/>
          <w:lang w:val="en-US"/>
        </w:rPr>
        <w:t> </w:t>
      </w:r>
      <w:r>
        <w:rPr>
          <w:b/>
          <w:bCs/>
          <w:sz w:val="22"/>
          <w:szCs w:val="22"/>
        </w:rPr>
        <w:t xml:space="preserve">Разрешение на строительство </w:t>
      </w:r>
      <w:r>
        <w:rPr>
          <w:sz w:val="22"/>
          <w:szCs w:val="22"/>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pPr>
        <w:pStyle w:val="Normal"/>
        <w:spacing w:before="0" w:after="0"/>
        <w:ind w:firstLine="708"/>
        <w:contextualSpacing/>
        <w:jc w:val="both"/>
        <w:rPr>
          <w:sz w:val="22"/>
          <w:szCs w:val="22"/>
        </w:rPr>
      </w:pPr>
      <w:r>
        <w:rPr>
          <w:sz w:val="22"/>
          <w:szCs w:val="22"/>
        </w:rPr>
        <w:t>1.7.</w:t>
      </w:r>
      <w:r>
        <w:rPr>
          <w:sz w:val="22"/>
          <w:szCs w:val="22"/>
          <w:lang w:val="en-US"/>
        </w:rPr>
        <w:t> </w:t>
      </w:r>
      <w:r>
        <w:rPr>
          <w:b/>
          <w:bCs/>
          <w:sz w:val="22"/>
          <w:szCs w:val="22"/>
        </w:rPr>
        <w:t xml:space="preserve">Разрешение на ввод в эксплуатацию </w:t>
      </w:r>
      <w:r>
        <w:rPr>
          <w:sz w:val="22"/>
          <w:szCs w:val="22"/>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pPr>
        <w:pStyle w:val="Normal"/>
        <w:spacing w:before="0" w:after="0"/>
        <w:ind w:firstLine="708"/>
        <w:contextualSpacing/>
        <w:jc w:val="both"/>
        <w:rPr>
          <w:sz w:val="22"/>
          <w:szCs w:val="22"/>
        </w:rPr>
      </w:pPr>
      <w:r>
        <w:rPr>
          <w:sz w:val="22"/>
          <w:szCs w:val="22"/>
        </w:rPr>
        <w:t>1.8.</w:t>
      </w:r>
      <w:r>
        <w:rPr>
          <w:sz w:val="22"/>
          <w:szCs w:val="22"/>
          <w:lang w:val="en-US"/>
        </w:rPr>
        <w:t> </w:t>
      </w:r>
      <w:r>
        <w:rPr>
          <w:b/>
          <w:bCs/>
          <w:sz w:val="22"/>
          <w:szCs w:val="22"/>
        </w:rPr>
        <w:t>Регистрирующий орган</w:t>
      </w:r>
      <w:r>
        <w:rPr>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pPr>
        <w:pStyle w:val="Normal"/>
        <w:spacing w:before="0" w:after="0"/>
        <w:ind w:firstLine="708"/>
        <w:contextualSpacing/>
        <w:jc w:val="both"/>
        <w:rPr>
          <w:sz w:val="22"/>
          <w:szCs w:val="22"/>
        </w:rPr>
      </w:pPr>
      <w:r>
        <w:rPr>
          <w:sz w:val="22"/>
          <w:szCs w:val="22"/>
        </w:rPr>
        <w:t xml:space="preserve">1.9. </w:t>
      </w:r>
      <w:r>
        <w:rPr>
          <w:b/>
          <w:bCs/>
          <w:sz w:val="22"/>
          <w:szCs w:val="22"/>
        </w:rPr>
        <w:t>Общая площадь Квартиры</w:t>
      </w:r>
      <w:r>
        <w:rPr>
          <w:b/>
          <w:bCs/>
          <w:color w:val="FF0000"/>
          <w:sz w:val="22"/>
          <w:szCs w:val="22"/>
        </w:rPr>
        <w:t xml:space="preserve"> </w:t>
      </w:r>
      <w:r>
        <w:rPr>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w:t>
      </w:r>
      <w:r>
        <w:rPr>
          <w:color w:val="00B050"/>
          <w:sz w:val="22"/>
          <w:szCs w:val="22"/>
        </w:rPr>
        <w:t xml:space="preserve"> </w:t>
      </w:r>
      <w:r>
        <w:rPr>
          <w:sz w:val="22"/>
          <w:szCs w:val="22"/>
        </w:rPr>
        <w:t>определенная с коэффициентом 0,5.</w:t>
      </w:r>
    </w:p>
    <w:p>
      <w:pPr>
        <w:pStyle w:val="Normal"/>
        <w:jc w:val="both"/>
        <w:rPr>
          <w:strike/>
          <w:sz w:val="22"/>
          <w:szCs w:val="22"/>
        </w:rPr>
      </w:pPr>
      <w:r>
        <w:rPr>
          <w:sz w:val="22"/>
          <w:szCs w:val="22"/>
        </w:rPr>
        <w:t xml:space="preserve">          </w:t>
      </w:r>
      <w:r>
        <w:rPr>
          <w:sz w:val="22"/>
          <w:szCs w:val="22"/>
        </w:rPr>
        <w:t xml:space="preserve">1.10. Исполнение обязательств Застройщика по передаче Жилых помещений Участнику долевого строительства обеспечивается </w:t>
      </w:r>
      <w:r>
        <w:rPr>
          <w:rFonts w:eastAsia="Calibri"/>
          <w:bCs/>
          <w:sz w:val="22"/>
          <w:szCs w:val="22"/>
        </w:rPr>
        <w:t xml:space="preserve">  в соответствии с действующим законодательством. </w:t>
      </w:r>
      <w:r>
        <w:rPr>
          <w:strike/>
          <w:sz w:val="22"/>
          <w:szCs w:val="22"/>
        </w:rPr>
        <w:t xml:space="preserve"> </w:t>
      </w:r>
    </w:p>
    <w:p>
      <w:pPr>
        <w:pStyle w:val="Normal"/>
        <w:spacing w:before="0" w:after="0"/>
        <w:contextualSpacing/>
        <w:jc w:val="both"/>
        <w:rPr>
          <w:strike/>
          <w:color w:val="FF0000"/>
          <w:sz w:val="22"/>
          <w:szCs w:val="22"/>
        </w:rPr>
      </w:pPr>
      <w:r>
        <w:rPr>
          <w:strike/>
          <w:color w:val="FF0000"/>
          <w:sz w:val="22"/>
          <w:szCs w:val="22"/>
        </w:rPr>
      </w:r>
    </w:p>
    <w:p>
      <w:pPr>
        <w:pStyle w:val="ListParagraph"/>
        <w:numPr>
          <w:ilvl w:val="0"/>
          <w:numId w:val="1"/>
        </w:numPr>
        <w:ind w:left="0" w:firstLine="708"/>
        <w:jc w:val="center"/>
        <w:rPr>
          <w:b/>
          <w:b/>
          <w:bCs/>
          <w:sz w:val="22"/>
          <w:szCs w:val="22"/>
        </w:rPr>
      </w:pPr>
      <w:r>
        <w:rPr>
          <w:b/>
          <w:bCs/>
          <w:sz w:val="22"/>
          <w:szCs w:val="22"/>
        </w:rPr>
        <w:t>ПРЕДМЕТ ДОГОВОРА</w:t>
      </w:r>
    </w:p>
    <w:p>
      <w:pPr>
        <w:pStyle w:val="Normal"/>
        <w:spacing w:before="0" w:after="0"/>
        <w:ind w:firstLine="708"/>
        <w:contextualSpacing/>
        <w:jc w:val="both"/>
        <w:rPr>
          <w:sz w:val="22"/>
          <w:szCs w:val="22"/>
        </w:rPr>
      </w:pPr>
      <w:r>
        <w:rPr>
          <w:sz w:val="22"/>
          <w:szCs w:val="22"/>
        </w:rPr>
        <w:t>2.1.</w:t>
      </w:r>
      <w:r>
        <w:rPr>
          <w:sz w:val="22"/>
          <w:szCs w:val="22"/>
          <w:lang w:val="en-US"/>
        </w:rPr>
        <w:t> </w:t>
      </w:r>
      <w:r>
        <w:rPr>
          <w:sz w:val="22"/>
          <w:szCs w:val="22"/>
        </w:rPr>
        <w:t>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 при наличии Разрешения на ввод в эксплуатацию.</w:t>
      </w:r>
    </w:p>
    <w:p>
      <w:pPr>
        <w:pStyle w:val="Normal"/>
        <w:spacing w:before="0" w:after="0"/>
        <w:ind w:firstLine="708"/>
        <w:contextualSpacing/>
        <w:jc w:val="both"/>
        <w:rPr>
          <w:sz w:val="22"/>
          <w:szCs w:val="22"/>
        </w:rPr>
      </w:pPr>
      <w:r>
        <w:rPr>
          <w:sz w:val="22"/>
          <w:szCs w:val="22"/>
        </w:rPr>
        <w:t xml:space="preserve">2.2. Настоящим Стороны согласовали, что Объектом долевого строительства в соответствии с проектной документацией является </w:t>
      </w:r>
      <w:r>
        <w:rPr>
          <w:b/>
          <w:sz w:val="22"/>
          <w:szCs w:val="22"/>
        </w:rPr>
        <w:t>Жилое помещение (Квартира</w:t>
      </w:r>
      <w:r>
        <w:rPr>
          <w:sz w:val="22"/>
          <w:szCs w:val="22"/>
        </w:rPr>
        <w:t xml:space="preserve">) в </w:t>
      </w:r>
      <w:r>
        <w:rPr>
          <w:bCs/>
          <w:sz w:val="22"/>
          <w:szCs w:val="22"/>
        </w:rPr>
        <w:t>Объекте недвижимости</w:t>
      </w:r>
      <w:r>
        <w:rPr>
          <w:sz w:val="22"/>
          <w:szCs w:val="22"/>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p>
      <w:pPr>
        <w:pStyle w:val="Normal"/>
        <w:spacing w:before="0" w:after="0"/>
        <w:ind w:firstLine="708"/>
        <w:contextualSpacing/>
        <w:jc w:val="both"/>
        <w:rPr>
          <w:sz w:val="22"/>
          <w:szCs w:val="22"/>
        </w:rPr>
      </w:pPr>
      <w:r>
        <w:rPr>
          <w:sz w:val="22"/>
          <w:szCs w:val="22"/>
        </w:rPr>
        <w:t>:</w:t>
      </w:r>
    </w:p>
    <w:p>
      <w:pPr>
        <w:pStyle w:val="Normal"/>
        <w:spacing w:before="0" w:after="0"/>
        <w:ind w:firstLine="708"/>
        <w:contextualSpacing/>
        <w:jc w:val="both"/>
        <w:rPr>
          <w:sz w:val="22"/>
          <w:szCs w:val="22"/>
        </w:rPr>
      </w:pPr>
      <w:r>
        <w:rPr>
          <w:sz w:val="22"/>
          <w:szCs w:val="22"/>
        </w:rPr>
      </w:r>
    </w:p>
    <w:tbl>
      <w:tblPr>
        <w:tblW w:w="10776" w:type="dxa"/>
        <w:jc w:val="left"/>
        <w:tblInd w:w="-80" w:type="dxa"/>
        <w:tblLayout w:type="fixed"/>
        <w:tblCellMar>
          <w:top w:w="102" w:type="dxa"/>
          <w:left w:w="62" w:type="dxa"/>
          <w:bottom w:w="102" w:type="dxa"/>
          <w:right w:w="62" w:type="dxa"/>
        </w:tblCellMar>
        <w:tblLook w:val="0000"/>
      </w:tblPr>
      <w:tblGrid>
        <w:gridCol w:w="1134"/>
        <w:gridCol w:w="708"/>
        <w:gridCol w:w="852"/>
        <w:gridCol w:w="992"/>
        <w:gridCol w:w="709"/>
        <w:gridCol w:w="991"/>
        <w:gridCol w:w="852"/>
        <w:gridCol w:w="1133"/>
        <w:gridCol w:w="993"/>
        <w:gridCol w:w="1417"/>
        <w:gridCol w:w="993"/>
      </w:tblGrid>
      <w:tr>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Условный</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Номер подъезда</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(секции)</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Этаж</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 xml:space="preserve">Номер </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Общая площадь</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м</w:t>
            </w:r>
            <w:r>
              <w:rPr>
                <w:rFonts w:cs="Times New Roman" w:ascii="Times New Roman" w:hAnsi="Times New Roman"/>
                <w:b/>
                <w:sz w:val="18"/>
                <w:szCs w:val="18"/>
                <w:vertAlign w:val="superscript"/>
              </w:rPr>
              <w:t>2</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помещений вспомогательного использования</w:t>
            </w:r>
          </w:p>
        </w:tc>
      </w:tr>
      <w:tr>
        <w:trPr>
          <w:trHeight w:val="655" w:hRule="atLeast"/>
        </w:trPr>
        <w:tc>
          <w:tcPr>
            <w:tcW w:w="11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м</w:t>
            </w:r>
            <w:r>
              <w:rPr>
                <w:rFonts w:cs="Times New Roman" w:ascii="Times New Roman" w:hAnsi="Times New Roman"/>
                <w:b/>
                <w:sz w:val="18"/>
                <w:szCs w:val="18"/>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Площадь м</w:t>
            </w:r>
            <w:r>
              <w:rPr>
                <w:rFonts w:cs="Times New Roman" w:ascii="Times New Roman" w:hAnsi="Times New Roman"/>
                <w:b/>
                <w:sz w:val="18"/>
                <w:szCs w:val="18"/>
                <w:vertAlign w:val="superscript"/>
              </w:rPr>
              <w:t>2</w:t>
            </w:r>
          </w:p>
        </w:tc>
      </w:tr>
      <w:tr>
        <w:trPr>
          <w:trHeight w:val="646" w:hRule="atLeast"/>
        </w:trPr>
        <w:tc>
          <w:tcPr>
            <w:tcW w:w="113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ind w:left="-203" w:hanging="0"/>
              <w:jc w:val="center"/>
              <w:rPr>
                <w:rFonts w:ascii="Times New Roman" w:hAnsi="Times New Roman" w:cs="Times New Roman"/>
                <w:b/>
                <w:b/>
                <w:sz w:val="18"/>
                <w:szCs w:val="18"/>
                <w:highlight w:val="yellow"/>
              </w:rPr>
            </w:pPr>
            <w:r>
              <w:rPr>
                <w:rFonts w:cs="Times New Roman" w:ascii="Times New Roman" w:hAnsi="Times New Roman"/>
                <w:b/>
                <w:sz w:val="18"/>
                <w:szCs w:val="18"/>
                <w:highlight w:val="yellow"/>
              </w:rPr>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t xml:space="preserve">Жилое </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8"/>
                <w:szCs w:val="18"/>
              </w:rPr>
            </w:pPr>
            <w:r>
              <w:rPr>
                <w:b/>
                <w:sz w:val="18"/>
                <w:szCs w:val="18"/>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highlight w:val="yellow"/>
              </w:rPr>
            </w:pPr>
            <w:r>
              <w:rPr>
                <w:rFonts w:cs="Times New Roman" w:ascii="Times New Roman" w:hAnsi="Times New Roman"/>
                <w:b/>
                <w:sz w:val="18"/>
                <w:szCs w:val="18"/>
                <w:highlight w:val="yellow"/>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Кухня</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Холл</w:t>
            </w:r>
          </w:p>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Санузел</w:t>
            </w:r>
          </w:p>
          <w:p>
            <w:pPr>
              <w:pStyle w:val="ConsPlusNormal"/>
              <w:widowControl w:val="false"/>
              <w:jc w:val="center"/>
              <w:rPr>
                <w:rFonts w:ascii="Times New Roman" w:hAnsi="Times New Roman" w:cs="Times New Roman"/>
                <w:b/>
                <w:b/>
                <w:sz w:val="18"/>
                <w:szCs w:val="18"/>
                <w:highlight w:val="yellow"/>
              </w:rPr>
            </w:pPr>
            <w:r>
              <w:rPr>
                <w:rFonts w:cs="Times New Roman" w:ascii="Times New Roman" w:hAnsi="Times New Roman"/>
                <w:b/>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r>
          </w:p>
        </w:tc>
      </w:tr>
      <w:tr>
        <w:trPr/>
        <w:tc>
          <w:tcPr>
            <w:tcW w:w="10774"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b/>
                <w:b/>
                <w:sz w:val="18"/>
                <w:szCs w:val="18"/>
              </w:rPr>
            </w:pPr>
            <w:r>
              <w:rPr>
                <w:rFonts w:cs="Times New Roman" w:ascii="Times New Roman" w:hAnsi="Times New Roman"/>
                <w:b/>
                <w:sz w:val="18"/>
                <w:szCs w:val="18"/>
              </w:rPr>
              <w:t>Итого, ориентировочная общая площадь жилого помещения (квартиры): __ кв.м.</w:t>
            </w:r>
          </w:p>
        </w:tc>
      </w:tr>
    </w:tbl>
    <w:p>
      <w:pPr>
        <w:pStyle w:val="Normal"/>
        <w:numPr>
          <w:ilvl w:val="0"/>
          <w:numId w:val="0"/>
        </w:numPr>
        <w:tabs>
          <w:tab w:val="clear" w:pos="708"/>
          <w:tab w:val="left" w:pos="0" w:leader="none"/>
        </w:tabs>
        <w:spacing w:before="0" w:after="0"/>
        <w:ind w:right="-3" w:hanging="0"/>
        <w:contextualSpacing/>
        <w:jc w:val="both"/>
        <w:outlineLvl w:val="0"/>
        <w:rPr>
          <w:b/>
          <w:b/>
          <w:bCs/>
          <w:color w:val="000000"/>
          <w:sz w:val="22"/>
          <w:szCs w:val="22"/>
        </w:rPr>
      </w:pPr>
      <w:r>
        <w:rPr>
          <w:b/>
          <w:bCs/>
          <w:color w:val="000000"/>
          <w:sz w:val="22"/>
          <w:szCs w:val="22"/>
        </w:rPr>
      </w:r>
    </w:p>
    <w:p>
      <w:pPr>
        <w:pStyle w:val="Normal"/>
        <w:spacing w:before="0" w:after="0"/>
        <w:contextualSpacing/>
        <w:jc w:val="both"/>
        <w:rPr>
          <w:sz w:val="22"/>
          <w:szCs w:val="22"/>
        </w:rPr>
      </w:pPr>
      <w:r>
        <w:rPr>
          <w:sz w:val="22"/>
          <w:szCs w:val="22"/>
        </w:rPr>
        <w:t xml:space="preserve"> </w:t>
      </w:r>
      <w:r>
        <w:rPr>
          <w:sz w:val="22"/>
          <w:szCs w:val="22"/>
        </w:rPr>
        <w:t>Под Проектной общей площадью Квартиры понимается общая площадь Квартиры, а также площадь относящихся к Квартире лоджии с применением понижающего коэффициента 0,5.</w:t>
      </w:r>
    </w:p>
    <w:p>
      <w:pPr>
        <w:pStyle w:val="Normal"/>
        <w:spacing w:before="0" w:after="0"/>
        <w:ind w:firstLine="708"/>
        <w:contextualSpacing/>
        <w:jc w:val="both"/>
        <w:rPr>
          <w:sz w:val="22"/>
          <w:szCs w:val="22"/>
        </w:rPr>
      </w:pPr>
      <w:r>
        <w:rPr>
          <w:sz w:val="22"/>
          <w:szCs w:val="22"/>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pPr>
        <w:pStyle w:val="Normal"/>
        <w:spacing w:before="0" w:after="0"/>
        <w:ind w:firstLine="708"/>
        <w:contextualSpacing/>
        <w:jc w:val="both"/>
        <w:rPr>
          <w:sz w:val="22"/>
          <w:szCs w:val="22"/>
        </w:rPr>
      </w:pPr>
      <w:r>
        <w:rPr>
          <w:sz w:val="22"/>
          <w:szCs w:val="22"/>
        </w:rPr>
        <w:t xml:space="preserve"> </w:t>
      </w:r>
      <w:r>
        <w:rPr>
          <w:sz w:val="22"/>
          <w:szCs w:val="22"/>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pPr>
        <w:pStyle w:val="Normal"/>
        <w:tabs>
          <w:tab w:val="clear" w:pos="708"/>
          <w:tab w:val="left" w:pos="180" w:leader="none"/>
          <w:tab w:val="left" w:pos="1125" w:leader="none"/>
        </w:tabs>
        <w:spacing w:before="0" w:after="0"/>
        <w:ind w:firstLine="708"/>
        <w:contextualSpacing/>
        <w:jc w:val="both"/>
        <w:rPr>
          <w:sz w:val="22"/>
          <w:szCs w:val="22"/>
        </w:rPr>
      </w:pPr>
      <w:r>
        <w:rPr>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pPr>
        <w:pStyle w:val="Normal"/>
        <w:tabs>
          <w:tab w:val="clear" w:pos="708"/>
          <w:tab w:val="left" w:pos="180" w:leader="none"/>
          <w:tab w:val="left" w:pos="1125" w:leader="none"/>
        </w:tabs>
        <w:spacing w:before="0" w:after="0"/>
        <w:ind w:firstLine="708"/>
        <w:contextualSpacing/>
        <w:jc w:val="both"/>
        <w:rPr>
          <w:sz w:val="22"/>
          <w:szCs w:val="22"/>
        </w:rPr>
      </w:pPr>
      <w:r>
        <w:rPr>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pPr>
        <w:pStyle w:val="Normal"/>
        <w:tabs>
          <w:tab w:val="clear" w:pos="708"/>
          <w:tab w:val="left" w:pos="180" w:leader="none"/>
          <w:tab w:val="left" w:pos="1125" w:leader="none"/>
        </w:tabs>
        <w:spacing w:before="0" w:after="0"/>
        <w:ind w:firstLine="708"/>
        <w:contextualSpacing/>
        <w:jc w:val="both"/>
        <w:rPr>
          <w:sz w:val="22"/>
          <w:szCs w:val="22"/>
        </w:rPr>
      </w:pPr>
      <w:r>
        <w:rPr>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pPr>
        <w:pStyle w:val="Normal"/>
        <w:spacing w:before="0" w:after="0"/>
        <w:ind w:firstLine="708"/>
        <w:contextualSpacing/>
        <w:jc w:val="both"/>
        <w:rPr>
          <w:sz w:val="22"/>
          <w:szCs w:val="22"/>
        </w:rPr>
      </w:pPr>
      <w:r>
        <w:rPr>
          <w:sz w:val="22"/>
          <w:szCs w:val="22"/>
        </w:rPr>
        <w:t>2.3. Правовым основанием для заключения Договора являются:</w:t>
      </w:r>
    </w:p>
    <w:p>
      <w:pPr>
        <w:pStyle w:val="Normal"/>
        <w:spacing w:before="0" w:after="0"/>
        <w:ind w:firstLine="708"/>
        <w:contextualSpacing/>
        <w:jc w:val="both"/>
        <w:rPr>
          <w:sz w:val="22"/>
          <w:szCs w:val="22"/>
        </w:rPr>
      </w:pPr>
      <w:r>
        <w:rPr>
          <w:sz w:val="22"/>
          <w:szCs w:val="22"/>
        </w:rPr>
        <w:t xml:space="preserve">  </w:t>
      </w:r>
      <w:r>
        <w:rPr>
          <w:sz w:val="22"/>
          <w:szCs w:val="22"/>
        </w:rPr>
        <w:t>-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pPr>
        <w:pStyle w:val="Normal"/>
        <w:spacing w:before="0" w:after="0"/>
        <w:ind w:firstLine="567"/>
        <w:contextualSpacing/>
        <w:jc w:val="both"/>
        <w:rPr>
          <w:sz w:val="22"/>
          <w:szCs w:val="22"/>
        </w:rPr>
      </w:pPr>
      <w:r>
        <w:rPr>
          <w:sz w:val="22"/>
          <w:szCs w:val="22"/>
        </w:rPr>
        <w:t>- Соглашение об уступке прав и обязанностей  от 21.10.2020 г. по договору аренды  земельного участка № АОС-1 от 23.03.2011г. (зарегистрировано Управлением Федеральной службы государственной регистрации, кадастра и картографии по Московской области от 16.11.2020 г. за номером № 50:23:0030155:70-50/145/2020-3).</w:t>
      </w:r>
    </w:p>
    <w:p>
      <w:pPr>
        <w:pStyle w:val="Normal"/>
        <w:spacing w:before="0" w:after="0"/>
        <w:ind w:firstLine="708"/>
        <w:contextualSpacing/>
        <w:jc w:val="both"/>
        <w:rPr>
          <w:sz w:val="22"/>
          <w:szCs w:val="22"/>
        </w:rPr>
      </w:pPr>
      <w:r>
        <w:rPr>
          <w:sz w:val="22"/>
          <w:szCs w:val="22"/>
        </w:rPr>
        <w:t>- Разрешение на строительство № RU 50-59-8358-2017 от 15.06.2017 года, выданное Министерством строительного комплекса Московской области.</w:t>
      </w:r>
    </w:p>
    <w:p>
      <w:pPr>
        <w:pStyle w:val="Normal"/>
        <w:spacing w:before="0" w:after="0"/>
        <w:ind w:firstLine="708"/>
        <w:contextualSpacing/>
        <w:jc w:val="both"/>
        <w:rPr>
          <w:sz w:val="22"/>
          <w:szCs w:val="22"/>
        </w:rPr>
      </w:pPr>
      <w:r>
        <w:rPr>
          <w:sz w:val="22"/>
          <w:szCs w:val="22"/>
        </w:rPr>
        <w:t xml:space="preserve">- Заключение Министерства строительного комплекса Московской области от 21 июня 2017 года (№ 20ИСХ-10669/9.1) о соответствии Застройщика и Проектной декларации по объекту строительства: 17-этажный 2-секционный жилой дом, расположенный по строительному адресу: </w:t>
      </w:r>
      <w:r>
        <w:rPr>
          <w:bCs/>
          <w:sz w:val="22"/>
          <w:szCs w:val="22"/>
        </w:rPr>
        <w:t>Московская область, Раменский район, с.п. Островецкое, д. Островцы, мкр. «Новые Островцы», «Южный квартал», поз. 3 (</w:t>
      </w:r>
      <w:r>
        <w:rPr>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Cs/>
          <w:sz w:val="22"/>
          <w:szCs w:val="22"/>
        </w:rPr>
        <w:t xml:space="preserve">, </w:t>
      </w:r>
      <w:r>
        <w:rPr>
          <w:sz w:val="22"/>
          <w:szCs w:val="22"/>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pPr>
        <w:pStyle w:val="Normal"/>
        <w:spacing w:before="0" w:after="0"/>
        <w:ind w:firstLine="708"/>
        <w:contextualSpacing/>
        <w:jc w:val="both"/>
        <w:rPr>
          <w:sz w:val="22"/>
          <w:szCs w:val="22"/>
        </w:rPr>
      </w:pPr>
      <w:r>
        <w:rPr>
          <w:sz w:val="22"/>
          <w:szCs w:val="22"/>
        </w:rPr>
        <w:t>- Договор заключен в соответствии с Гражданским кодексом Российской Федерации и</w:t>
      </w:r>
      <w:r>
        <w:rPr>
          <w:sz w:val="22"/>
          <w:szCs w:val="22"/>
          <w:lang w:val="en-US"/>
        </w:rPr>
        <w:t> </w:t>
      </w:r>
      <w:r>
        <w:rPr>
          <w:sz w:val="22"/>
          <w:szCs w:val="22"/>
        </w:rPr>
        <w:t xml:space="preserve">Федеральным законом Российской Федерации от 30.12.2004 № 214-ФЗ </w:t>
        <w:b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Pr>
          <w:b/>
          <w:bCs/>
          <w:sz w:val="22"/>
          <w:szCs w:val="22"/>
        </w:rPr>
        <w:t>«Закон об участии в долевом строительстве»</w:t>
      </w:r>
      <w:r>
        <w:rPr>
          <w:sz w:val="22"/>
          <w:szCs w:val="22"/>
        </w:rPr>
        <w:t>).</w:t>
      </w:r>
    </w:p>
    <w:p>
      <w:pPr>
        <w:pStyle w:val="Normal"/>
        <w:tabs>
          <w:tab w:val="clear" w:pos="708"/>
          <w:tab w:val="left" w:pos="1125" w:leader="none"/>
        </w:tabs>
        <w:spacing w:before="0" w:after="0"/>
        <w:ind w:firstLine="708"/>
        <w:contextualSpacing/>
        <w:jc w:val="both"/>
        <w:rPr>
          <w:sz w:val="22"/>
          <w:szCs w:val="22"/>
        </w:rPr>
      </w:pPr>
      <w:r>
        <w:rPr>
          <w:sz w:val="22"/>
          <w:szCs w:val="22"/>
        </w:rPr>
        <w:t xml:space="preserve">2.4. Планируемый срок завершения строительства Объекта недвижимости и получения Разрешения на ввод в эксплуатацию – </w:t>
      </w:r>
      <w:r>
        <w:rPr>
          <w:b/>
          <w:sz w:val="22"/>
          <w:szCs w:val="22"/>
        </w:rPr>
        <w:t xml:space="preserve">второй квартал </w:t>
      </w:r>
      <w:r>
        <w:rPr>
          <w:b/>
          <w:bCs/>
          <w:sz w:val="22"/>
          <w:szCs w:val="22"/>
        </w:rPr>
        <w:t>2022 года</w:t>
      </w:r>
      <w:r>
        <w:rPr>
          <w:b/>
          <w:sz w:val="22"/>
          <w:szCs w:val="22"/>
        </w:rPr>
        <w:t xml:space="preserve">. </w:t>
      </w:r>
      <w:r>
        <w:rPr>
          <w:sz w:val="22"/>
          <w:szCs w:val="22"/>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pPr>
        <w:pStyle w:val="Normal"/>
        <w:spacing w:before="0" w:after="0"/>
        <w:ind w:firstLine="708"/>
        <w:contextualSpacing/>
        <w:jc w:val="both"/>
        <w:rPr>
          <w:rFonts w:eastAsia="Calibri"/>
          <w:sz w:val="22"/>
          <w:szCs w:val="22"/>
        </w:rPr>
      </w:pPr>
      <w:r>
        <w:rPr>
          <w:rFonts w:eastAsia="Calibri"/>
          <w:sz w:val="22"/>
          <w:szCs w:val="22"/>
        </w:rPr>
        <w:t xml:space="preserve"> </w:t>
      </w:r>
      <w:r>
        <w:rPr>
          <w:rFonts w:eastAsia="Calibri"/>
          <w:sz w:val="22"/>
          <w:szCs w:val="22"/>
        </w:rPr>
        <w:t xml:space="preserve">В случае,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pPr>
        <w:pStyle w:val="Normal"/>
        <w:spacing w:before="0" w:after="0"/>
        <w:ind w:firstLine="708"/>
        <w:contextualSpacing/>
        <w:jc w:val="both"/>
        <w:rPr>
          <w:rFonts w:eastAsia="Calibri"/>
          <w:sz w:val="22"/>
          <w:szCs w:val="22"/>
        </w:rPr>
      </w:pPr>
      <w:r>
        <w:rPr>
          <w:rFonts w:eastAsia="Calibri"/>
          <w:sz w:val="22"/>
          <w:szCs w:val="22"/>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3">
        <w:r>
          <w:rPr>
            <w:rFonts w:eastAsia="Calibri"/>
            <w:sz w:val="22"/>
            <w:szCs w:val="22"/>
          </w:rPr>
          <w:t>кодексом</w:t>
        </w:r>
      </w:hyperlink>
      <w:r>
        <w:rPr>
          <w:rFonts w:eastAsia="Calibri"/>
          <w:sz w:val="22"/>
          <w:szCs w:val="22"/>
        </w:rPr>
        <w:t xml:space="preserve"> Российской Федерации.</w:t>
      </w:r>
    </w:p>
    <w:p>
      <w:pPr>
        <w:pStyle w:val="Normal"/>
        <w:tabs>
          <w:tab w:val="clear" w:pos="708"/>
          <w:tab w:val="left" w:pos="0" w:leader="none"/>
        </w:tabs>
        <w:spacing w:before="0" w:after="0"/>
        <w:ind w:firstLine="708"/>
        <w:contextualSpacing/>
        <w:jc w:val="both"/>
        <w:rPr>
          <w:sz w:val="22"/>
          <w:szCs w:val="22"/>
        </w:rPr>
      </w:pPr>
      <w:r>
        <w:rPr>
          <w:sz w:val="22"/>
          <w:szCs w:val="22"/>
        </w:rPr>
        <w:t xml:space="preserve">2.5. Передача Объекта долевого строительства Застройщиком и принятие их Участником долевого строительства осуществляется не позднее </w:t>
      </w:r>
      <w:r>
        <w:rPr>
          <w:b/>
          <w:sz w:val="22"/>
          <w:szCs w:val="22"/>
        </w:rPr>
        <w:t xml:space="preserve">31.12.2022 года </w:t>
      </w:r>
      <w:r>
        <w:rPr>
          <w:sz w:val="22"/>
          <w:szCs w:val="22"/>
        </w:rPr>
        <w:t xml:space="preserve">по передаточному акту после завершения строительства Объекта недвижимости и получения Разрешения на ввод в эксплуатацию. </w:t>
      </w:r>
    </w:p>
    <w:p>
      <w:pPr>
        <w:pStyle w:val="Normal"/>
        <w:tabs>
          <w:tab w:val="clear" w:pos="708"/>
          <w:tab w:val="left" w:pos="1125" w:leader="none"/>
        </w:tabs>
        <w:spacing w:before="0" w:after="0"/>
        <w:ind w:firstLine="708"/>
        <w:contextualSpacing/>
        <w:jc w:val="both"/>
        <w:rPr>
          <w:sz w:val="22"/>
          <w:szCs w:val="22"/>
        </w:rPr>
      </w:pPr>
      <w:r>
        <w:rPr>
          <w:sz w:val="22"/>
          <w:szCs w:val="22"/>
        </w:rPr>
        <w:t>Застройщик вправе исполнить обязательство по передаче Объекта долевого строительства Участнику долевого строительства досрочно.</w:t>
      </w:r>
    </w:p>
    <w:p>
      <w:pPr>
        <w:pStyle w:val="Normal"/>
        <w:tabs>
          <w:tab w:val="clear" w:pos="708"/>
          <w:tab w:val="left" w:pos="0" w:leader="none"/>
        </w:tabs>
        <w:spacing w:before="0" w:after="0"/>
        <w:ind w:firstLine="708"/>
        <w:contextualSpacing/>
        <w:jc w:val="both"/>
        <w:rPr>
          <w:sz w:val="22"/>
          <w:szCs w:val="22"/>
        </w:rPr>
      </w:pPr>
      <w:r>
        <w:rPr>
          <w:sz w:val="22"/>
          <w:szCs w:val="22"/>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pPr>
        <w:pStyle w:val="Normal"/>
        <w:tabs>
          <w:tab w:val="clear" w:pos="708"/>
          <w:tab w:val="left" w:pos="0" w:leader="none"/>
        </w:tabs>
        <w:spacing w:before="0" w:after="0"/>
        <w:ind w:firstLine="708"/>
        <w:contextualSpacing/>
        <w:jc w:val="both"/>
        <w:rPr>
          <w:sz w:val="22"/>
          <w:szCs w:val="22"/>
        </w:rPr>
      </w:pPr>
      <w:r>
        <w:rPr>
          <w:sz w:val="22"/>
          <w:szCs w:val="22"/>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pPr>
        <w:pStyle w:val="Normal"/>
        <w:tabs>
          <w:tab w:val="clear" w:pos="708"/>
          <w:tab w:val="left" w:pos="0" w:leader="none"/>
        </w:tabs>
        <w:spacing w:before="0" w:after="0"/>
        <w:ind w:firstLine="708"/>
        <w:contextualSpacing/>
        <w:jc w:val="both"/>
        <w:rPr>
          <w:sz w:val="22"/>
          <w:szCs w:val="22"/>
        </w:rPr>
      </w:pPr>
      <w:r>
        <w:rPr>
          <w:sz w:val="22"/>
          <w:szCs w:val="22"/>
        </w:rPr>
        <w:t>2.8.</w:t>
      </w:r>
      <w:r>
        <w:rPr>
          <w:sz w:val="22"/>
          <w:szCs w:val="22"/>
          <w:lang w:val="en-US"/>
        </w:rPr>
        <w:t> </w:t>
      </w:r>
      <w:r>
        <w:rPr>
          <w:sz w:val="22"/>
          <w:szCs w:val="22"/>
        </w:rPr>
        <w:t>Гарантийный срок для Объекта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pPr>
        <w:pStyle w:val="Normal"/>
        <w:spacing w:before="0" w:after="0"/>
        <w:ind w:firstLine="708"/>
        <w:contextualSpacing/>
        <w:jc w:val="both"/>
        <w:rPr>
          <w:sz w:val="22"/>
          <w:szCs w:val="22"/>
        </w:rPr>
      </w:pPr>
      <w:r>
        <w:rPr>
          <w:sz w:val="22"/>
          <w:szCs w:val="22"/>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pPr>
        <w:pStyle w:val="Normal"/>
        <w:spacing w:lineRule="auto" w:line="276" w:before="0" w:after="0"/>
        <w:ind w:firstLine="567"/>
        <w:contextualSpacing/>
        <w:jc w:val="both"/>
        <w:rPr>
          <w:sz w:val="22"/>
          <w:szCs w:val="22"/>
        </w:rPr>
      </w:pPr>
      <w:r>
        <w:rPr>
          <w:sz w:val="22"/>
          <w:szCs w:val="22"/>
        </w:rPr>
        <w:t>2.10. 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pPr>
        <w:pStyle w:val="Default"/>
        <w:rPr>
          <w:color w:val="auto"/>
          <w:sz w:val="22"/>
          <w:szCs w:val="22"/>
        </w:rPr>
      </w:pPr>
      <w:r>
        <w:rPr>
          <w:color w:val="auto"/>
          <w:sz w:val="22"/>
          <w:szCs w:val="22"/>
        </w:rPr>
        <w:t xml:space="preserve">          </w:t>
      </w:r>
      <w:r>
        <w:rPr>
          <w:color w:val="auto"/>
          <w:sz w:val="22"/>
          <w:szCs w:val="22"/>
        </w:rPr>
        <w:t xml:space="preserve">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постоянного </w:t>
      </w:r>
    </w:p>
    <w:p>
      <w:pPr>
        <w:pStyle w:val="Normal"/>
        <w:spacing w:lineRule="auto" w:line="276" w:before="0" w:after="0"/>
        <w:contextualSpacing/>
        <w:jc w:val="both"/>
        <w:rPr>
          <w:sz w:val="22"/>
          <w:szCs w:val="22"/>
        </w:rPr>
      </w:pPr>
      <w:r>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
    <w:p>
      <w:pPr>
        <w:pStyle w:val="Normal"/>
        <w:spacing w:before="0" w:after="0"/>
        <w:ind w:firstLine="708"/>
        <w:contextualSpacing/>
        <w:jc w:val="both"/>
        <w:rPr>
          <w:sz w:val="22"/>
          <w:szCs w:val="22"/>
        </w:rPr>
      </w:pPr>
      <w:r>
        <w:rPr>
          <w:sz w:val="22"/>
          <w:szCs w:val="22"/>
        </w:rPr>
      </w:r>
    </w:p>
    <w:p>
      <w:pPr>
        <w:pStyle w:val="ListParagraph"/>
        <w:numPr>
          <w:ilvl w:val="0"/>
          <w:numId w:val="1"/>
        </w:numPr>
        <w:spacing w:lineRule="auto" w:line="276"/>
        <w:jc w:val="center"/>
        <w:rPr>
          <w:b/>
          <w:b/>
          <w:bCs/>
          <w:sz w:val="21"/>
          <w:szCs w:val="21"/>
        </w:rPr>
      </w:pPr>
      <w:r>
        <w:rPr>
          <w:b/>
          <w:bCs/>
          <w:sz w:val="21"/>
          <w:szCs w:val="21"/>
        </w:rPr>
        <w:t>ЦЕНА ДОГОВОРА. ПОРЯДОК РАСЧЕТОВ</w:t>
      </w:r>
    </w:p>
    <w:p>
      <w:pPr>
        <w:pStyle w:val="ListParagraph"/>
        <w:numPr>
          <w:ilvl w:val="1"/>
          <w:numId w:val="1"/>
        </w:numPr>
        <w:shd w:val="clear" w:color="auto" w:fill="FFFFFF"/>
        <w:tabs>
          <w:tab w:val="clear" w:pos="708"/>
          <w:tab w:val="left" w:pos="993" w:leader="none"/>
        </w:tabs>
        <w:ind w:left="0" w:firstLine="567"/>
        <w:jc w:val="both"/>
        <w:rPr>
          <w:sz w:val="21"/>
          <w:szCs w:val="21"/>
        </w:rPr>
      </w:pPr>
      <w:r>
        <w:rPr>
          <w:bCs/>
          <w:sz w:val="21"/>
          <w:szCs w:val="21"/>
        </w:rPr>
        <w:t xml:space="preserve">Цена Договора, подлежащая уплате Участником долевого строительства, составляет: </w:t>
      </w:r>
      <w:r>
        <w:rPr>
          <w:b/>
          <w:sz w:val="21"/>
          <w:szCs w:val="21"/>
        </w:rPr>
        <w:t xml:space="preserve">__________ (________________________) </w:t>
      </w:r>
      <w:r>
        <w:rPr>
          <w:b/>
          <w:bCs/>
          <w:sz w:val="21"/>
          <w:szCs w:val="21"/>
        </w:rPr>
        <w:t>рубля(ей)  00 копеек,</w:t>
      </w:r>
      <w:r>
        <w:rPr>
          <w:bCs/>
          <w:sz w:val="21"/>
          <w:szCs w:val="21"/>
        </w:rPr>
        <w:t xml:space="preserve"> исходя из </w:t>
      </w:r>
      <w:r>
        <w:rPr>
          <w:spacing w:val="4"/>
          <w:sz w:val="21"/>
          <w:szCs w:val="21"/>
        </w:rPr>
        <w:t xml:space="preserve">цены одного квадратного метра общей площади </w:t>
      </w:r>
      <w:r>
        <w:rPr>
          <w:sz w:val="21"/>
          <w:szCs w:val="21"/>
        </w:rPr>
        <w:t>Объекта долевого строительства</w:t>
      </w:r>
      <w:r>
        <w:rPr>
          <w:spacing w:val="4"/>
          <w:sz w:val="21"/>
          <w:szCs w:val="21"/>
        </w:rPr>
        <w:t xml:space="preserve">, включающей в себя общую площадь Квартиры и площадь лоджий </w:t>
      </w:r>
      <w:r>
        <w:rPr>
          <w:sz w:val="21"/>
          <w:szCs w:val="21"/>
        </w:rPr>
        <w:t xml:space="preserve">с применением понижающих коэффициентов </w:t>
      </w:r>
      <w:r>
        <w:rPr>
          <w:spacing w:val="4"/>
          <w:sz w:val="21"/>
          <w:szCs w:val="21"/>
        </w:rPr>
        <w:t>–</w:t>
      </w:r>
      <w:r>
        <w:rPr>
          <w:b/>
          <w:bCs/>
          <w:sz w:val="21"/>
          <w:szCs w:val="21"/>
        </w:rPr>
        <w:t xml:space="preserve"> __________</w:t>
      </w:r>
      <w:r>
        <w:rPr>
          <w:b/>
          <w:sz w:val="21"/>
          <w:szCs w:val="21"/>
        </w:rPr>
        <w:t>(_____________________) рублей</w:t>
      </w:r>
      <w:r>
        <w:rPr>
          <w:b/>
          <w:bCs/>
          <w:sz w:val="21"/>
          <w:szCs w:val="21"/>
        </w:rPr>
        <w:t xml:space="preserve"> 00</w:t>
      </w:r>
      <w:r>
        <w:rPr>
          <w:b/>
          <w:spacing w:val="4"/>
          <w:sz w:val="21"/>
          <w:szCs w:val="21"/>
        </w:rPr>
        <w:t xml:space="preserve"> копеек (НД</w:t>
      </w:r>
      <w:r>
        <w:rPr>
          <w:b/>
          <w:sz w:val="21"/>
          <w:szCs w:val="21"/>
        </w:rPr>
        <w:t>С не облагается).</w:t>
      </w:r>
      <w:r>
        <w:rPr>
          <w:color w:val="000000"/>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pPr>
        <w:pStyle w:val="NormalWeb"/>
        <w:spacing w:beforeAutospacing="0" w:before="0" w:afterAutospacing="0" w:after="0"/>
        <w:contextualSpacing/>
        <w:jc w:val="both"/>
        <w:rPr>
          <w:sz w:val="21"/>
          <w:szCs w:val="21"/>
        </w:rPr>
      </w:pPr>
      <w:r>
        <w:rPr>
          <w:sz w:val="21"/>
          <w:szCs w:val="21"/>
        </w:rPr>
        <w:t xml:space="preserve">           </w:t>
      </w:r>
      <w:r>
        <w:rPr>
          <w:sz w:val="21"/>
          <w:szCs w:val="21"/>
        </w:rPr>
        <w:t xml:space="preserve">3.2. Для  уплаты цены Договора  Участник долевого строительства   </w:t>
      </w:r>
      <w:r>
        <w:rPr>
          <w:rStyle w:val="Layout"/>
          <w:b/>
          <w:sz w:val="21"/>
          <w:szCs w:val="21"/>
          <w:shd w:fill="FFFFFF" w:val="clear"/>
        </w:rPr>
        <w:t xml:space="preserve">не позднее 2 (двух) рабочих дней с даты подписания </w:t>
      </w:r>
      <w:r>
        <w:rPr>
          <w:sz w:val="21"/>
          <w:szCs w:val="21"/>
        </w:rPr>
        <w:t>настоящего</w:t>
      </w:r>
      <w:r>
        <w:rPr>
          <w:rStyle w:val="Layout"/>
          <w:b/>
          <w:sz w:val="21"/>
          <w:szCs w:val="21"/>
          <w:shd w:fill="FFFFFF" w:val="clear"/>
        </w:rPr>
        <w:t xml:space="preserve"> Договор</w:t>
      </w:r>
      <w:r>
        <w:rPr>
          <w:rStyle w:val="Layout"/>
          <w:sz w:val="21"/>
          <w:szCs w:val="21"/>
          <w:shd w:fill="FFFFFF" w:val="clear"/>
        </w:rPr>
        <w:t xml:space="preserve">а </w:t>
      </w:r>
      <w:r>
        <w:rPr>
          <w:sz w:val="21"/>
          <w:szCs w:val="21"/>
        </w:rPr>
        <w:t xml:space="preserve">обязуется </w:t>
      </w:r>
      <w:r>
        <w:rPr>
          <w:b/>
          <w:sz w:val="21"/>
          <w:szCs w:val="21"/>
        </w:rPr>
        <w:t xml:space="preserve">открыть в ПАО Сбербанк (Эскроу-агент) </w:t>
      </w:r>
      <w:r>
        <w:rPr>
          <w:sz w:val="21"/>
          <w:szCs w:val="21"/>
        </w:rPr>
        <w:t>специальный эскроу-счет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NormalWeb"/>
        <w:spacing w:beforeAutospacing="0" w:before="0" w:afterAutospacing="0" w:after="0"/>
        <w:ind w:firstLine="720"/>
        <w:contextualSpacing/>
        <w:jc w:val="both"/>
        <w:rPr>
          <w:sz w:val="21"/>
          <w:szCs w:val="21"/>
        </w:rPr>
      </w:pPr>
      <w:r>
        <w:rPr>
          <w:sz w:val="21"/>
          <w:szCs w:val="21"/>
        </w:rPr>
      </w:r>
    </w:p>
    <w:p>
      <w:pPr>
        <w:pStyle w:val="NormalWeb"/>
        <w:spacing w:beforeAutospacing="0" w:before="0" w:afterAutospacing="0" w:after="0"/>
        <w:ind w:left="720" w:hanging="0"/>
        <w:contextualSpacing/>
        <w:jc w:val="both"/>
        <w:rPr>
          <w:sz w:val="21"/>
          <w:szCs w:val="21"/>
        </w:rPr>
      </w:pPr>
      <w:r>
        <w:rPr>
          <w:sz w:val="21"/>
          <w:szCs w:val="21"/>
        </w:rPr>
        <w:t xml:space="preserve">    </w:t>
      </w:r>
      <w:r>
        <w:rPr>
          <w:b/>
          <w:bCs/>
          <w:color w:val="000000"/>
          <w:sz w:val="21"/>
          <w:szCs w:val="21"/>
        </w:rPr>
        <w:t>Эскроу-агент</w:t>
      </w:r>
      <w:r>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4">
        <w:r>
          <w:rPr>
            <w:sz w:val="21"/>
            <w:szCs w:val="21"/>
          </w:rPr>
          <w:t>Escrow_Sberbank@sberbank.ru</w:t>
        </w:r>
      </w:hyperlink>
      <w:r>
        <w:rPr>
          <w:color w:val="000000"/>
          <w:sz w:val="21"/>
          <w:szCs w:val="21"/>
        </w:rPr>
        <w:t xml:space="preserve">, номер телефона: 8-800-200-86-03 </w:t>
      </w:r>
      <w:r>
        <w:rPr>
          <w:sz w:val="21"/>
          <w:szCs w:val="21"/>
        </w:rPr>
        <w:t xml:space="preserve">(Далее по тексту – </w:t>
      </w:r>
      <w:r>
        <w:rPr>
          <w:b/>
          <w:sz w:val="21"/>
          <w:szCs w:val="21"/>
        </w:rPr>
        <w:t>уполномоченный банк);</w:t>
      </w:r>
    </w:p>
    <w:p>
      <w:pPr>
        <w:pStyle w:val="Normal"/>
        <w:shd w:val="clear" w:color="auto" w:fill="FFFFFF"/>
        <w:spacing w:before="0" w:after="0"/>
        <w:ind w:left="709" w:hanging="0"/>
        <w:contextualSpacing/>
        <w:jc w:val="both"/>
        <w:rPr>
          <w:sz w:val="21"/>
          <w:szCs w:val="21"/>
        </w:rPr>
      </w:pPr>
      <w:r>
        <w:rPr>
          <w:b/>
          <w:bCs/>
          <w:color w:val="000000"/>
          <w:sz w:val="21"/>
          <w:szCs w:val="21"/>
        </w:rPr>
        <w:t xml:space="preserve"> </w:t>
      </w:r>
      <w:r>
        <w:rPr>
          <w:b/>
          <w:bCs/>
          <w:color w:val="000000"/>
          <w:sz w:val="21"/>
          <w:szCs w:val="21"/>
        </w:rPr>
        <w:t>Депонент:</w:t>
      </w:r>
      <w:r>
        <w:rPr>
          <w:color w:val="000000"/>
          <w:sz w:val="21"/>
          <w:szCs w:val="21"/>
        </w:rPr>
        <w:t xml:space="preserve"> ______________________________________________________________________________(полные данные на участника)</w:t>
      </w:r>
    </w:p>
    <w:p>
      <w:pPr>
        <w:pStyle w:val="NormalWeb"/>
        <w:spacing w:beforeAutospacing="0" w:before="0" w:afterAutospacing="0" w:after="0"/>
        <w:ind w:left="709" w:hanging="142"/>
        <w:contextualSpacing/>
        <w:jc w:val="both"/>
        <w:rPr>
          <w:sz w:val="21"/>
          <w:szCs w:val="21"/>
        </w:rPr>
      </w:pPr>
      <w:r>
        <w:rPr>
          <w:b/>
          <w:bCs/>
          <w:color w:val="000000"/>
          <w:sz w:val="21"/>
          <w:szCs w:val="21"/>
        </w:rPr>
        <w:t xml:space="preserve">   </w:t>
      </w:r>
      <w:r>
        <w:rPr>
          <w:b/>
          <w:bCs/>
          <w:color w:val="000000"/>
          <w:sz w:val="21"/>
          <w:szCs w:val="21"/>
        </w:rPr>
        <w:t xml:space="preserve">Бенефициар: </w:t>
      </w:r>
      <w:r>
        <w:rPr>
          <w:sz w:val="21"/>
          <w:szCs w:val="21"/>
        </w:rPr>
        <w:t>ООО  «М</w:t>
      </w:r>
      <w:r>
        <w:rPr>
          <w:sz w:val="21"/>
          <w:szCs w:val="21"/>
        </w:rPr>
        <w:t>ОНОЛИТ-СТРОЙ</w:t>
      </w:r>
      <w:r>
        <w:rPr>
          <w:sz w:val="21"/>
          <w:szCs w:val="21"/>
        </w:rPr>
        <w:t>»,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pPr>
        <w:pStyle w:val="Normal"/>
        <w:shd w:val="clear" w:color="auto" w:fill="FFFFFF"/>
        <w:spacing w:before="0" w:after="0"/>
        <w:contextualSpacing/>
        <w:jc w:val="both"/>
        <w:rPr>
          <w:sz w:val="21"/>
          <w:szCs w:val="21"/>
        </w:rPr>
      </w:pPr>
      <w:r>
        <w:rPr>
          <w:b/>
          <w:color w:val="000000"/>
          <w:sz w:val="21"/>
          <w:szCs w:val="21"/>
        </w:rPr>
        <w:t xml:space="preserve">             </w:t>
      </w:r>
      <w:r>
        <w:rPr>
          <w:b/>
          <w:sz w:val="21"/>
          <w:szCs w:val="21"/>
        </w:rPr>
        <w:t>Сумма и порядок депонирования</w:t>
      </w:r>
      <w:r>
        <w:rPr>
          <w:sz w:val="21"/>
          <w:szCs w:val="21"/>
        </w:rPr>
        <w:t>: __________________</w:t>
      </w:r>
      <w:r>
        <w:rPr>
          <w:b/>
          <w:sz w:val="21"/>
          <w:szCs w:val="21"/>
        </w:rPr>
        <w:t xml:space="preserve">(__________________________) </w:t>
      </w:r>
      <w:r>
        <w:rPr>
          <w:b/>
          <w:bCs/>
          <w:sz w:val="21"/>
          <w:szCs w:val="21"/>
        </w:rPr>
        <w:t xml:space="preserve">рубля 00 копеек </w:t>
      </w:r>
      <w:r>
        <w:rPr>
          <w:sz w:val="21"/>
          <w:szCs w:val="21"/>
        </w:rPr>
        <w:t xml:space="preserve">  </w:t>
      </w:r>
    </w:p>
    <w:p>
      <w:pPr>
        <w:pStyle w:val="Normal"/>
        <w:shd w:val="clear" w:color="auto" w:fill="FFFFFF"/>
        <w:spacing w:before="0" w:after="0"/>
        <w:contextualSpacing/>
        <w:jc w:val="both"/>
        <w:rPr>
          <w:sz w:val="21"/>
          <w:szCs w:val="21"/>
        </w:rPr>
      </w:pPr>
      <w:r>
        <w:rPr>
          <w:sz w:val="21"/>
          <w:szCs w:val="21"/>
        </w:rPr>
        <w:t xml:space="preserve">            </w:t>
      </w:r>
      <w:r>
        <w:rPr>
          <w:sz w:val="21"/>
          <w:szCs w:val="21"/>
        </w:rPr>
        <w:t xml:space="preserve">оплачивается Депонентом в течение 5 (пяти) рабочих дней, после государственной регистрации  </w:t>
      </w:r>
    </w:p>
    <w:p>
      <w:pPr>
        <w:pStyle w:val="Normal"/>
        <w:shd w:val="clear" w:color="auto" w:fill="FFFFFF"/>
        <w:spacing w:before="0" w:after="0"/>
        <w:contextualSpacing/>
        <w:jc w:val="both"/>
        <w:rPr>
          <w:sz w:val="21"/>
          <w:szCs w:val="21"/>
        </w:rPr>
      </w:pPr>
      <w:r>
        <w:rPr>
          <w:sz w:val="21"/>
          <w:szCs w:val="21"/>
        </w:rPr>
        <w:t xml:space="preserve">             </w:t>
      </w:r>
      <w:r>
        <w:rPr>
          <w:sz w:val="21"/>
          <w:szCs w:val="21"/>
        </w:rPr>
        <w:t>настоящего Договора, путем размещения  денежных средств на счет эскроу.</w:t>
      </w:r>
    </w:p>
    <w:p>
      <w:pPr>
        <w:pStyle w:val="Msonormalmrcssattr"/>
        <w:spacing w:beforeAutospacing="0" w:before="0" w:afterAutospacing="0" w:after="0"/>
        <w:ind w:left="709" w:hanging="0"/>
        <w:contextualSpacing/>
        <w:jc w:val="both"/>
        <w:rPr>
          <w:sz w:val="21"/>
          <w:szCs w:val="21"/>
        </w:rPr>
      </w:pPr>
      <w:r>
        <w:rPr>
          <w:kern w:val="2"/>
          <w:sz w:val="21"/>
          <w:szCs w:val="21"/>
          <w:lang w:eastAsia="ar-SA"/>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pPr>
        <w:pStyle w:val="NormalWeb"/>
        <w:spacing w:beforeAutospacing="0" w:before="0" w:afterAutospacing="0" w:after="0"/>
        <w:ind w:left="709" w:firstLine="11"/>
        <w:contextualSpacing/>
        <w:jc w:val="both"/>
        <w:rPr>
          <w:sz w:val="21"/>
          <w:szCs w:val="21"/>
        </w:rPr>
      </w:pPr>
      <w:r>
        <w:rPr>
          <w:b/>
          <w:bCs/>
          <w:sz w:val="21"/>
          <w:szCs w:val="21"/>
        </w:rPr>
        <w:t xml:space="preserve">Срок условного депонирования денежных средств: </w:t>
      </w:r>
      <w:r>
        <w:rPr>
          <w:bCs/>
          <w:sz w:val="21"/>
          <w:szCs w:val="21"/>
        </w:rPr>
        <w:t>не более</w:t>
      </w:r>
      <w:r>
        <w:rPr>
          <w:b/>
          <w:bCs/>
          <w:sz w:val="21"/>
          <w:szCs w:val="21"/>
        </w:rPr>
        <w:t xml:space="preserve">  </w:t>
      </w:r>
      <w:r>
        <w:rPr>
          <w:sz w:val="21"/>
          <w:szCs w:val="21"/>
        </w:rPr>
        <w:t xml:space="preserve">6 (Шести) месяцев срока ввода в эксплуатацию Объекта долевого строительства, указанного в проектной декларации; </w:t>
      </w:r>
    </w:p>
    <w:p>
      <w:pPr>
        <w:pStyle w:val="Msonormalmrcssattr"/>
        <w:spacing w:beforeAutospacing="0" w:before="0" w:afterAutospacing="0" w:after="0"/>
        <w:ind w:left="709" w:hanging="0"/>
        <w:contextualSpacing/>
        <w:jc w:val="both"/>
        <w:rPr>
          <w:sz w:val="21"/>
          <w:szCs w:val="21"/>
        </w:rPr>
      </w:pPr>
      <w:r>
        <w:rPr>
          <w:b/>
          <w:bCs/>
          <w:sz w:val="21"/>
          <w:szCs w:val="21"/>
        </w:rPr>
        <w:t xml:space="preserve">Способ извещения: </w:t>
      </w:r>
      <w:r>
        <w:rPr>
          <w:sz w:val="21"/>
          <w:szCs w:val="21"/>
        </w:rPr>
        <w:t>Эскроу-агент направляет</w:t>
      </w:r>
      <w:r>
        <w:rPr>
          <w:b/>
          <w:bCs/>
          <w:sz w:val="21"/>
          <w:szCs w:val="21"/>
        </w:rPr>
        <w:t xml:space="preserve"> </w:t>
      </w:r>
      <w:r>
        <w:rPr>
          <w:sz w:val="21"/>
          <w:szCs w:val="21"/>
        </w:rPr>
        <w:t>Застройщику уведомление (авизо) об открытии счета эскроу по установленным электронным каналам связи не позднее следующего рабочего дня после открытия счета эскроу.</w:t>
      </w:r>
    </w:p>
    <w:p>
      <w:pPr>
        <w:pStyle w:val="Msonormalmrcssattr"/>
        <w:spacing w:beforeAutospacing="0" w:before="0" w:afterAutospacing="0" w:after="0"/>
        <w:ind w:left="709" w:hanging="0"/>
        <w:contextualSpacing/>
        <w:jc w:val="both"/>
        <w:rPr>
          <w:kern w:val="2"/>
          <w:sz w:val="21"/>
          <w:szCs w:val="21"/>
          <w:lang w:eastAsia="ar-SA"/>
        </w:rPr>
      </w:pPr>
      <w:r>
        <w:rPr>
          <w:b/>
          <w:bCs/>
          <w:sz w:val="21"/>
          <w:szCs w:val="21"/>
        </w:rPr>
        <w:t xml:space="preserve">Основания перечисления Застройщику (бенефициару) депонированной суммы: </w:t>
      </w:r>
      <w:r>
        <w:rPr>
          <w:sz w:val="21"/>
          <w:szCs w:val="21"/>
        </w:rPr>
        <w:t> в</w:t>
      </w:r>
      <w:r>
        <w:rPr>
          <w:rStyle w:val="Blk"/>
          <w:sz w:val="21"/>
          <w:szCs w:val="21"/>
        </w:rPr>
        <w:t>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kern w:val="2"/>
          <w:sz w:val="21"/>
          <w:szCs w:val="21"/>
          <w:lang w:eastAsia="ar-SA"/>
        </w:rPr>
        <w:t xml:space="preserve"> </w:t>
      </w:r>
    </w:p>
    <w:p>
      <w:pPr>
        <w:pStyle w:val="Msonormalmrcssattr"/>
        <w:spacing w:beforeAutospacing="0" w:before="0" w:afterAutospacing="0" w:after="0"/>
        <w:ind w:left="709" w:hanging="0"/>
        <w:contextualSpacing/>
        <w:jc w:val="both"/>
        <w:rPr>
          <w:kern w:val="2"/>
          <w:sz w:val="21"/>
          <w:szCs w:val="21"/>
          <w:lang w:eastAsia="ar-SA"/>
        </w:rPr>
      </w:pPr>
      <w:r>
        <w:rPr>
          <w:kern w:val="2"/>
          <w:sz w:val="21"/>
          <w:szCs w:val="21"/>
          <w:lang w:eastAsia="ar-SA"/>
        </w:rPr>
      </w:r>
    </w:p>
    <w:p>
      <w:pPr>
        <w:pStyle w:val="Style25"/>
        <w:tabs>
          <w:tab w:val="left" w:pos="0" w:leader="none"/>
          <w:tab w:val="center" w:pos="540" w:leader="none"/>
        </w:tabs>
        <w:spacing w:before="0" w:after="0"/>
        <w:ind w:firstLine="708"/>
        <w:contextualSpacing/>
        <w:rPr>
          <w:sz w:val="21"/>
          <w:szCs w:val="21"/>
        </w:rPr>
      </w:pPr>
      <w:r>
        <w:rPr>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pPr>
        <w:pStyle w:val="Normal"/>
        <w:spacing w:lineRule="auto" w:line="276" w:before="0" w:after="0"/>
        <w:ind w:firstLine="567"/>
        <w:contextualSpacing/>
        <w:jc w:val="both"/>
        <w:rPr>
          <w:b/>
          <w:b/>
          <w:bCs/>
          <w:sz w:val="21"/>
          <w:szCs w:val="21"/>
        </w:rPr>
      </w:pPr>
      <w:r>
        <w:rPr>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Pr>
          <w:b/>
          <w:sz w:val="21"/>
          <w:szCs w:val="21"/>
        </w:rPr>
        <w:t>.</w:t>
      </w:r>
    </w:p>
    <w:p>
      <w:pPr>
        <w:pStyle w:val="Style25"/>
        <w:tabs>
          <w:tab w:val="left" w:pos="0" w:leader="none"/>
          <w:tab w:val="center" w:pos="540" w:leader="none"/>
        </w:tabs>
        <w:spacing w:before="0" w:after="0"/>
        <w:ind w:firstLine="708"/>
        <w:contextualSpacing/>
        <w:rPr>
          <w:sz w:val="21"/>
          <w:szCs w:val="21"/>
        </w:rPr>
      </w:pPr>
      <w:r>
        <w:rPr>
          <w:sz w:val="21"/>
          <w:szCs w:val="21"/>
        </w:rPr>
        <w:t>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–Уведомление об изменении площади).</w:t>
      </w:r>
    </w:p>
    <w:p>
      <w:pPr>
        <w:pStyle w:val="Normal"/>
        <w:jc w:val="both"/>
        <w:rPr>
          <w:sz w:val="21"/>
          <w:szCs w:val="21"/>
        </w:rPr>
      </w:pPr>
      <w:r>
        <w:rPr>
          <w:sz w:val="21"/>
          <w:szCs w:val="21"/>
        </w:rPr>
        <w:t xml:space="preserve">           </w:t>
      </w:r>
      <w:r>
        <w:rPr>
          <w:sz w:val="21"/>
          <w:szCs w:val="21"/>
        </w:rPr>
        <w:t xml:space="preserve">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pPr>
        <w:pStyle w:val="Normal"/>
        <w:ind w:firstLine="708"/>
        <w:jc w:val="both"/>
        <w:rPr>
          <w:sz w:val="21"/>
          <w:szCs w:val="21"/>
        </w:rPr>
      </w:pPr>
      <w:r>
        <w:rPr>
          <w:sz w:val="21"/>
          <w:szCs w:val="21"/>
        </w:rPr>
        <w:t>Участник обязан оплатить Излишки площади исходя из стоимости</w:t>
      </w:r>
      <w:r>
        <w:rPr>
          <w:bCs/>
          <w:sz w:val="21"/>
          <w:szCs w:val="21"/>
        </w:rPr>
        <w:t xml:space="preserve"> </w:t>
      </w:r>
      <w:r>
        <w:rPr>
          <w:b/>
          <w:bCs/>
          <w:sz w:val="21"/>
          <w:szCs w:val="21"/>
        </w:rPr>
        <w:t>__________</w:t>
      </w:r>
      <w:r>
        <w:rPr>
          <w:b/>
          <w:sz w:val="21"/>
          <w:szCs w:val="21"/>
        </w:rPr>
        <w:t xml:space="preserve"> (__________________________)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pPr>
        <w:pStyle w:val="Normal"/>
        <w:ind w:firstLine="708"/>
        <w:jc w:val="both"/>
        <w:rPr>
          <w:sz w:val="21"/>
          <w:szCs w:val="21"/>
        </w:rPr>
      </w:pPr>
      <w:r>
        <w:rPr>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pPr>
        <w:pStyle w:val="Normal"/>
        <w:ind w:firstLine="708"/>
        <w:jc w:val="both"/>
        <w:rPr>
          <w:sz w:val="21"/>
          <w:szCs w:val="21"/>
        </w:rPr>
      </w:pPr>
      <w:r>
        <w:rPr>
          <w:sz w:val="21"/>
          <w:szCs w:val="21"/>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r>
        <w:rPr>
          <w:bCs/>
          <w:sz w:val="21"/>
          <w:szCs w:val="21"/>
        </w:rPr>
        <w:t xml:space="preserve"> </w:t>
      </w:r>
      <w:r>
        <w:rPr>
          <w:b/>
          <w:bCs/>
          <w:sz w:val="21"/>
          <w:szCs w:val="21"/>
        </w:rPr>
        <w:t>__________</w:t>
      </w:r>
      <w:r>
        <w:rPr>
          <w:b/>
          <w:sz w:val="21"/>
          <w:szCs w:val="21"/>
        </w:rPr>
        <w:t xml:space="preserve"> (__________________________) рублей</w:t>
      </w:r>
      <w:r>
        <w:rPr>
          <w:b/>
          <w:bCs/>
          <w:sz w:val="21"/>
          <w:szCs w:val="21"/>
        </w:rPr>
        <w:t xml:space="preserve"> 00</w:t>
      </w:r>
      <w:r>
        <w:rPr>
          <w:b/>
          <w:spacing w:val="4"/>
          <w:sz w:val="21"/>
          <w:szCs w:val="21"/>
        </w:rPr>
        <w:t xml:space="preserve"> копеек</w:t>
      </w:r>
      <w:r>
        <w:rPr>
          <w:bCs/>
          <w:sz w:val="21"/>
          <w:szCs w:val="21"/>
        </w:rPr>
        <w:t>, НДС не облагается,</w:t>
      </w:r>
      <w:r>
        <w:rPr>
          <w:sz w:val="21"/>
          <w:szCs w:val="21"/>
        </w:rPr>
        <w:t xml:space="preserve"> за один квадратный метр.</w:t>
      </w:r>
    </w:p>
    <w:p>
      <w:pPr>
        <w:pStyle w:val="Normal"/>
        <w:ind w:firstLine="708"/>
        <w:jc w:val="both"/>
        <w:rPr>
          <w:sz w:val="21"/>
          <w:szCs w:val="21"/>
        </w:rPr>
      </w:pPr>
      <w:r>
        <w:rPr>
          <w:sz w:val="21"/>
          <w:szCs w:val="21"/>
        </w:rPr>
        <w:t>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с  даты получения им письменного требования Участника, содержащего банковские реквизиты для перечисления денежных средств.</w:t>
      </w:r>
    </w:p>
    <w:p>
      <w:pPr>
        <w:pStyle w:val="Style25"/>
        <w:tabs>
          <w:tab w:val="left" w:pos="0" w:leader="none"/>
          <w:tab w:val="center" w:pos="540" w:leader="none"/>
        </w:tabs>
        <w:spacing w:before="0" w:after="0"/>
        <w:contextualSpacing/>
        <w:rPr>
          <w:sz w:val="21"/>
          <w:szCs w:val="21"/>
        </w:rPr>
      </w:pPr>
      <w:r>
        <w:rPr>
          <w:sz w:val="21"/>
          <w:szCs w:val="21"/>
        </w:rPr>
        <w:t xml:space="preserve">             </w:t>
      </w:r>
      <w:r>
        <w:rPr>
          <w:sz w:val="21"/>
          <w:szCs w:val="21"/>
        </w:rPr>
        <w:t xml:space="preserve">3.5. Если разница в обмерах до 1 (одного) кв. метра включительно, то взаиморасчеты не производятся. </w:t>
      </w:r>
    </w:p>
    <w:p>
      <w:pPr>
        <w:pStyle w:val="ConsNonformat"/>
        <w:widowControl/>
        <w:tabs>
          <w:tab w:val="clear" w:pos="708"/>
          <w:tab w:val="left" w:pos="1134" w:leader="none"/>
        </w:tabs>
        <w:jc w:val="both"/>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pPr>
        <w:pStyle w:val="Normal"/>
        <w:jc w:val="both"/>
        <w:rPr>
          <w:rFonts w:eastAsia="Calibri"/>
          <w:sz w:val="21"/>
          <w:szCs w:val="21"/>
        </w:rPr>
      </w:pPr>
      <w:r>
        <w:rPr>
          <w:sz w:val="21"/>
          <w:szCs w:val="21"/>
        </w:rPr>
        <w:t xml:space="preserve">             </w:t>
      </w:r>
      <w:r>
        <w:rPr>
          <w:sz w:val="21"/>
          <w:szCs w:val="21"/>
        </w:rPr>
        <w:t xml:space="preserve">3.7. Застройщик </w:t>
      </w:r>
      <w:r>
        <w:rPr>
          <w:rFonts w:eastAsia="Calibri"/>
          <w:sz w:val="21"/>
          <w:szCs w:val="21"/>
        </w:rPr>
        <w:t>может использовать денежные средства со своего  расчетного счета  в следующих целях:</w:t>
      </w:r>
    </w:p>
    <w:p>
      <w:pPr>
        <w:pStyle w:val="Normal"/>
        <w:spacing w:before="0" w:after="0"/>
        <w:ind w:firstLine="540"/>
        <w:contextualSpacing/>
        <w:jc w:val="both"/>
        <w:rPr>
          <w:rFonts w:eastAsia="Calibri"/>
          <w:sz w:val="21"/>
          <w:szCs w:val="21"/>
        </w:rPr>
      </w:pPr>
      <w:bookmarkStart w:id="0" w:name="Par0"/>
      <w:bookmarkEnd w:id="0"/>
      <w:r>
        <w:rPr>
          <w:rFonts w:eastAsia="Calibri"/>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pPr>
        <w:pStyle w:val="Normal"/>
        <w:spacing w:before="0" w:after="0"/>
        <w:ind w:firstLine="540"/>
        <w:contextualSpacing/>
        <w:jc w:val="both"/>
        <w:rPr>
          <w:rFonts w:eastAsia="Calibri"/>
          <w:sz w:val="21"/>
          <w:szCs w:val="21"/>
        </w:rPr>
      </w:pPr>
      <w:r>
        <w:rPr>
          <w:rFonts w:eastAsia="Calibri"/>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5">
        <w:r>
          <w:rPr>
            <w:rFonts w:eastAsia="Calibri"/>
            <w:sz w:val="21"/>
            <w:szCs w:val="21"/>
          </w:rPr>
          <w:t>пунктом 3 статьи 2</w:t>
        </w:r>
      </w:hyperlink>
      <w:r>
        <w:rPr>
          <w:rFonts w:eastAsia="Calibri"/>
          <w:sz w:val="21"/>
          <w:szCs w:val="21"/>
        </w:rPr>
        <w:t xml:space="preserve"> Федерального закона от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pPr>
        <w:pStyle w:val="Normal"/>
        <w:spacing w:before="0" w:after="0"/>
        <w:ind w:firstLine="540"/>
        <w:contextualSpacing/>
        <w:jc w:val="both"/>
        <w:rPr>
          <w:rFonts w:eastAsia="Calibri"/>
          <w:sz w:val="21"/>
          <w:szCs w:val="21"/>
        </w:rPr>
      </w:pPr>
      <w:r>
        <w:rPr>
          <w:rFonts w:eastAsia="Calibri"/>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pPr>
        <w:pStyle w:val="Normal"/>
        <w:spacing w:before="0" w:after="0"/>
        <w:ind w:firstLine="540"/>
        <w:contextualSpacing/>
        <w:jc w:val="both"/>
        <w:rPr>
          <w:rFonts w:eastAsia="Calibri"/>
          <w:sz w:val="21"/>
          <w:szCs w:val="21"/>
        </w:rPr>
      </w:pPr>
      <w:r>
        <w:rPr>
          <w:rFonts w:eastAsia="Calibri"/>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pPr>
        <w:pStyle w:val="Normal"/>
        <w:spacing w:before="0" w:after="0"/>
        <w:ind w:firstLine="540"/>
        <w:contextualSpacing/>
        <w:jc w:val="both"/>
        <w:rPr>
          <w:rFonts w:eastAsia="Calibri"/>
          <w:sz w:val="21"/>
          <w:szCs w:val="21"/>
        </w:rPr>
      </w:pPr>
      <w:r>
        <w:rPr>
          <w:rFonts w:eastAsia="Calibri"/>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pPr>
        <w:pStyle w:val="Normal"/>
        <w:spacing w:before="0" w:after="0"/>
        <w:ind w:firstLine="540"/>
        <w:contextualSpacing/>
        <w:jc w:val="both"/>
        <w:rPr>
          <w:rFonts w:eastAsia="Calibri"/>
          <w:sz w:val="21"/>
          <w:szCs w:val="21"/>
        </w:rPr>
      </w:pPr>
      <w:r>
        <w:rPr>
          <w:rFonts w:eastAsia="Calibri"/>
          <w:sz w:val="21"/>
          <w:szCs w:val="21"/>
        </w:rPr>
        <w:t xml:space="preserve">5) внесение платы за подключение (технологическое присоединение)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к сетям инженерно-технического обеспечения;</w:t>
      </w:r>
    </w:p>
    <w:p>
      <w:pPr>
        <w:pStyle w:val="Normal"/>
        <w:spacing w:before="0" w:after="0"/>
        <w:ind w:firstLine="540"/>
        <w:contextualSpacing/>
        <w:jc w:val="both"/>
        <w:rPr>
          <w:rFonts w:eastAsia="Calibri"/>
          <w:sz w:val="21"/>
          <w:szCs w:val="21"/>
        </w:rPr>
      </w:pPr>
      <w:bookmarkStart w:id="1" w:name="Par9"/>
      <w:bookmarkEnd w:id="1"/>
      <w:r>
        <w:rPr>
          <w:rFonts w:eastAsia="Calibri"/>
          <w:sz w:val="21"/>
          <w:szCs w:val="21"/>
        </w:rPr>
        <w:t xml:space="preserve">6) платежи по заключенному в соответствии с </w:t>
      </w:r>
      <w:hyperlink r:id="rId6">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pPr>
        <w:pStyle w:val="Normal"/>
        <w:spacing w:before="0" w:after="0"/>
        <w:ind w:firstLine="540"/>
        <w:contextualSpacing/>
        <w:jc w:val="both"/>
        <w:rPr>
          <w:rFonts w:eastAsia="Calibri"/>
          <w:sz w:val="21"/>
          <w:szCs w:val="21"/>
        </w:rPr>
      </w:pPr>
      <w:bookmarkStart w:id="2" w:name="Par11"/>
      <w:bookmarkEnd w:id="2"/>
      <w:r>
        <w:rPr>
          <w:rFonts w:eastAsia="Calibri"/>
          <w:sz w:val="21"/>
          <w:szCs w:val="21"/>
        </w:rPr>
        <w:t xml:space="preserve">7) платежи по заключенному в соответствии с </w:t>
      </w:r>
      <w:hyperlink r:id="rId7">
        <w:r>
          <w:rPr>
            <w:rFonts w:eastAsia="Calibri"/>
            <w:sz w:val="21"/>
            <w:szCs w:val="21"/>
          </w:rPr>
          <w:t>законодательством</w:t>
        </w:r>
      </w:hyperlink>
      <w:r>
        <w:rPr>
          <w:rFonts w:eastAsia="Calibri"/>
          <w:sz w:val="21"/>
          <w:szCs w:val="21"/>
        </w:rPr>
        <w:t xml:space="preserve"> о градостроительной деятельности договору о развитии застроенной территории,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8">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застройщиком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9">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bookmarkStart w:id="3" w:name="Par13"/>
      <w:bookmarkEnd w:id="3"/>
      <w:r>
        <w:rPr>
          <w:rFonts w:eastAsia="Calibri"/>
          <w:sz w:val="21"/>
          <w:szCs w:val="21"/>
        </w:rPr>
        <w:t xml:space="preserve">8) платежи по заключенному в соответствии с </w:t>
      </w:r>
      <w:hyperlink r:id="rId10">
        <w:r>
          <w:rPr>
            <w:rFonts w:eastAsia="Calibri"/>
            <w:sz w:val="21"/>
            <w:szCs w:val="21"/>
          </w:rPr>
          <w:t>законодательством</w:t>
        </w:r>
      </w:hyperlink>
      <w:r>
        <w:rPr>
          <w:rFonts w:eastAsia="Calibri"/>
          <w:sz w:val="21"/>
          <w:szCs w:val="21"/>
        </w:rPr>
        <w:t xml:space="preserve"> Российской Федерации о градостроительной деятельности договору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1">
        <w:r>
          <w:rPr>
            <w:rFonts w:eastAsia="Calibri"/>
            <w:sz w:val="21"/>
            <w:szCs w:val="21"/>
          </w:rPr>
          <w:t>статьи 18.1</w:t>
        </w:r>
      </w:hyperlink>
      <w:r>
        <w:rPr>
          <w:rFonts w:eastAsia="Calibri"/>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застройщиком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2">
        <w:r>
          <w:rPr>
            <w:rFonts w:eastAsia="Calibri"/>
            <w:sz w:val="21"/>
            <w:szCs w:val="21"/>
          </w:rPr>
          <w:t>пунктом 10.1 части 1 статьи 21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bookmarkStart w:id="4" w:name="Par15"/>
      <w:bookmarkEnd w:id="4"/>
      <w:r>
        <w:rPr>
          <w:rFonts w:eastAsia="Calibri"/>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осуществляется в иных случаях, не указанных в </w:t>
      </w:r>
      <w:hyperlink w:anchor="Par9">
        <w:r>
          <w:rPr>
            <w:rFonts w:eastAsia="Calibri"/>
            <w:sz w:val="21"/>
            <w:szCs w:val="21"/>
          </w:rPr>
          <w:t>пунктах 6</w:t>
        </w:r>
      </w:hyperlink>
      <w:r>
        <w:rPr>
          <w:rFonts w:eastAsia="Calibri"/>
          <w:sz w:val="21"/>
          <w:szCs w:val="21"/>
        </w:rPr>
        <w:t xml:space="preserve"> - </w:t>
      </w:r>
      <w:hyperlink w:anchor="Par13">
        <w:r>
          <w:rPr>
            <w:rFonts w:eastAsia="Calibri"/>
            <w:sz w:val="21"/>
            <w:szCs w:val="21"/>
          </w:rPr>
          <w:t>8</w:t>
        </w:r>
      </w:hyperlink>
      <w:r>
        <w:rPr>
          <w:rFonts w:eastAsia="Calibri"/>
          <w:sz w:val="21"/>
          <w:szCs w:val="21"/>
        </w:rPr>
        <w:t xml:space="preserve"> настоящей части, с учетом требований </w:t>
      </w:r>
      <w:hyperlink r:id="rId13">
        <w:r>
          <w:rPr>
            <w:rFonts w:eastAsia="Calibri"/>
            <w:sz w:val="21"/>
            <w:szCs w:val="21"/>
          </w:rPr>
          <w:t>статьи 18.1</w:t>
        </w:r>
      </w:hyperlink>
      <w:r>
        <w:rPr>
          <w:rFonts w:eastAsia="Calibri"/>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pPr>
        <w:pStyle w:val="Normal"/>
        <w:spacing w:before="0" w:after="0"/>
        <w:ind w:firstLine="540"/>
        <w:contextualSpacing/>
        <w:jc w:val="both"/>
        <w:rPr>
          <w:rFonts w:eastAsia="Calibri"/>
          <w:sz w:val="21"/>
          <w:szCs w:val="21"/>
        </w:rPr>
      </w:pPr>
      <w:r>
        <w:rPr>
          <w:rFonts w:eastAsia="Calibri"/>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Pr>
            <w:rFonts w:eastAsia="Calibri"/>
            <w:sz w:val="21"/>
            <w:szCs w:val="21"/>
          </w:rPr>
          <w:t>пункте 1</w:t>
        </w:r>
      </w:hyperlink>
      <w:r>
        <w:rPr>
          <w:rFonts w:eastAsia="Calibri"/>
          <w:sz w:val="21"/>
          <w:szCs w:val="21"/>
        </w:rPr>
        <w:t xml:space="preserve">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w:t>
      </w:r>
      <w:hyperlink w:anchor="Par11">
        <w:r>
          <w:rPr>
            <w:rFonts w:eastAsia="Calibri"/>
            <w:sz w:val="21"/>
            <w:szCs w:val="21"/>
          </w:rPr>
          <w:t>пунктах 7</w:t>
        </w:r>
      </w:hyperlink>
      <w:r>
        <w:rPr>
          <w:rFonts w:eastAsia="Calibri"/>
          <w:sz w:val="21"/>
          <w:szCs w:val="21"/>
        </w:rPr>
        <w:t xml:space="preserve"> - </w:t>
      </w:r>
      <w:hyperlink w:anchor="Par15">
        <w:r>
          <w:rPr>
            <w:rFonts w:eastAsia="Calibri"/>
            <w:sz w:val="21"/>
            <w:szCs w:val="21"/>
          </w:rPr>
          <w:t>9</w:t>
        </w:r>
      </w:hyperlink>
      <w:r>
        <w:rPr>
          <w:rFonts w:eastAsia="Calibri"/>
          <w:sz w:val="21"/>
          <w:szCs w:val="21"/>
        </w:rPr>
        <w:t xml:space="preserve"> настоящей части, с учетом требований </w:t>
      </w:r>
      <w:hyperlink r:id="rId14">
        <w:r>
          <w:rPr>
            <w:rFonts w:eastAsia="Calibri"/>
            <w:sz w:val="21"/>
            <w:szCs w:val="21"/>
          </w:rPr>
          <w:t>статьи 18.1</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r>
        <w:rPr>
          <w:rFonts w:eastAsia="Calibri"/>
          <w:sz w:val="21"/>
          <w:szCs w:val="21"/>
        </w:rPr>
        <w:t>11) платежи, связанные с государственной регистрацией договоров участия в долевом строительстве;</w:t>
      </w:r>
    </w:p>
    <w:p>
      <w:pPr>
        <w:pStyle w:val="Normal"/>
        <w:spacing w:before="0" w:after="0"/>
        <w:ind w:firstLine="540"/>
        <w:contextualSpacing/>
        <w:jc w:val="both"/>
        <w:rPr>
          <w:rFonts w:eastAsia="Calibri"/>
          <w:sz w:val="21"/>
          <w:szCs w:val="21"/>
        </w:rPr>
      </w:pPr>
      <w:r>
        <w:rPr>
          <w:rFonts w:eastAsia="Calibri"/>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pPr>
        <w:pStyle w:val="Normal"/>
        <w:spacing w:before="0" w:after="0"/>
        <w:ind w:firstLine="540"/>
        <w:contextualSpacing/>
        <w:jc w:val="both"/>
        <w:rPr>
          <w:rFonts w:eastAsia="Calibri"/>
          <w:sz w:val="21"/>
          <w:szCs w:val="21"/>
        </w:rPr>
      </w:pPr>
      <w:r>
        <w:rPr>
          <w:rFonts w:eastAsia="Calibri"/>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pPr>
        <w:pStyle w:val="Normal"/>
        <w:spacing w:before="0" w:after="0"/>
        <w:ind w:firstLine="540"/>
        <w:contextualSpacing/>
        <w:jc w:val="both"/>
        <w:rPr>
          <w:rFonts w:eastAsia="Calibri"/>
          <w:sz w:val="21"/>
          <w:szCs w:val="21"/>
        </w:rPr>
      </w:pPr>
      <w:r>
        <w:rPr>
          <w:rFonts w:eastAsia="Calibri"/>
          <w:sz w:val="21"/>
          <w:szCs w:val="21"/>
        </w:rPr>
        <w:t xml:space="preserve">13.1) перевод денежных средств на счет в другом уполномоченном банке, открытом в соответствии с </w:t>
      </w:r>
      <w:hyperlink r:id="rId15">
        <w:r>
          <w:rPr>
            <w:rFonts w:eastAsia="Calibri"/>
            <w:sz w:val="21"/>
            <w:szCs w:val="21"/>
          </w:rPr>
          <w:t>частью 2.3-1 статьи 3</w:t>
        </w:r>
      </w:hyperlink>
      <w:r>
        <w:rPr>
          <w:rFonts w:eastAsia="Calibri"/>
          <w:sz w:val="21"/>
          <w:szCs w:val="21"/>
        </w:rPr>
        <w:t xml:space="preserve"> настоящего Федерального закона;</w:t>
      </w:r>
    </w:p>
    <w:p>
      <w:pPr>
        <w:pStyle w:val="Normal"/>
        <w:spacing w:before="0" w:after="0"/>
        <w:ind w:firstLine="540"/>
        <w:contextualSpacing/>
        <w:jc w:val="both"/>
        <w:rPr>
          <w:rFonts w:eastAsia="Calibri"/>
          <w:sz w:val="21"/>
          <w:szCs w:val="21"/>
        </w:rPr>
      </w:pPr>
      <w:r>
        <w:rPr>
          <w:rFonts w:eastAsia="Calibri"/>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Normal"/>
        <w:spacing w:before="0" w:after="0"/>
        <w:ind w:firstLine="540"/>
        <w:contextualSpacing/>
        <w:jc w:val="both"/>
        <w:rPr>
          <w:rFonts w:eastAsia="Calibri"/>
          <w:sz w:val="21"/>
          <w:szCs w:val="21"/>
        </w:rPr>
      </w:pPr>
      <w:r>
        <w:rPr>
          <w:rFonts w:eastAsia="Calibri"/>
          <w:sz w:val="21"/>
          <w:szCs w:val="21"/>
        </w:rPr>
        <w:t>15) уплата обязательных отчислений (взносов) в компенсационный фонд;</w:t>
      </w:r>
    </w:p>
    <w:p>
      <w:pPr>
        <w:pStyle w:val="Normal"/>
        <w:spacing w:before="0" w:after="0"/>
        <w:ind w:firstLine="540"/>
        <w:contextualSpacing/>
        <w:jc w:val="both"/>
        <w:rPr>
          <w:rFonts w:eastAsia="Calibri"/>
          <w:sz w:val="21"/>
          <w:szCs w:val="21"/>
        </w:rPr>
      </w:pPr>
      <w:r>
        <w:rPr>
          <w:rFonts w:eastAsia="Calibri"/>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pPr>
        <w:pStyle w:val="Normal"/>
        <w:spacing w:before="0" w:after="0"/>
        <w:ind w:firstLine="540"/>
        <w:contextualSpacing/>
        <w:jc w:val="both"/>
        <w:rPr>
          <w:rFonts w:eastAsia="Calibri"/>
          <w:sz w:val="21"/>
          <w:szCs w:val="21"/>
        </w:rPr>
      </w:pPr>
      <w:r>
        <w:rPr>
          <w:rFonts w:eastAsia="Calibri"/>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pPr>
        <w:pStyle w:val="Normal"/>
        <w:spacing w:before="0" w:after="0"/>
        <w:ind w:firstLine="540"/>
        <w:contextualSpacing/>
        <w:jc w:val="both"/>
        <w:rPr>
          <w:rFonts w:eastAsia="Calibri"/>
          <w:sz w:val="21"/>
          <w:szCs w:val="21"/>
        </w:rPr>
      </w:pPr>
      <w:r>
        <w:rPr>
          <w:rFonts w:eastAsia="Calibri"/>
          <w:sz w:val="21"/>
          <w:szCs w:val="21"/>
        </w:rPr>
        <w:t>18) оплата услуг коммерческой организации, осуществляющей функции единоличного исполнительного органа застройщика;</w:t>
      </w:r>
    </w:p>
    <w:p>
      <w:pPr>
        <w:pStyle w:val="Normal"/>
        <w:spacing w:before="0" w:after="0"/>
        <w:ind w:firstLine="540"/>
        <w:contextualSpacing/>
        <w:jc w:val="both"/>
        <w:rPr>
          <w:rFonts w:eastAsia="Calibri"/>
          <w:sz w:val="21"/>
          <w:szCs w:val="21"/>
        </w:rPr>
      </w:pPr>
      <w:r>
        <w:rPr>
          <w:rFonts w:eastAsia="Calibri"/>
          <w:sz w:val="21"/>
          <w:szCs w:val="21"/>
        </w:rPr>
        <w:t xml:space="preserve">19) денежные выплаты, связанные с предоставлением работникам гарантий и компенсаций, предусмотренных Трудовым </w:t>
      </w:r>
      <w:hyperlink r:id="rId16">
        <w:r>
          <w:rPr>
            <w:rFonts w:eastAsia="Calibri"/>
            <w:sz w:val="21"/>
            <w:szCs w:val="21"/>
          </w:rPr>
          <w:t>кодексом</w:t>
        </w:r>
      </w:hyperlink>
      <w:r>
        <w:rPr>
          <w:rFonts w:eastAsia="Calibri"/>
          <w:sz w:val="21"/>
          <w:szCs w:val="21"/>
        </w:rPr>
        <w:t xml:space="preserve"> Российской Федерации;</w:t>
      </w:r>
    </w:p>
    <w:p>
      <w:pPr>
        <w:pStyle w:val="Normal"/>
        <w:spacing w:before="0" w:after="0"/>
        <w:ind w:firstLine="540"/>
        <w:contextualSpacing/>
        <w:jc w:val="both"/>
        <w:rPr>
          <w:rFonts w:eastAsia="Calibri"/>
          <w:sz w:val="21"/>
          <w:szCs w:val="21"/>
        </w:rPr>
      </w:pPr>
      <w:r>
        <w:rPr>
          <w:rFonts w:eastAsia="Calibri"/>
          <w:sz w:val="21"/>
          <w:szCs w:val="21"/>
        </w:rPr>
        <w:t>19.1) оплата расходов, связанных с содержанием жилых и (или) нежилых помещений, машино-мест,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Normal"/>
        <w:spacing w:before="0" w:after="0"/>
        <w:ind w:firstLine="540"/>
        <w:contextualSpacing/>
        <w:jc w:val="both"/>
        <w:rPr>
          <w:rFonts w:eastAsia="Calibri"/>
          <w:sz w:val="21"/>
          <w:szCs w:val="21"/>
        </w:rPr>
      </w:pPr>
      <w:r>
        <w:rPr>
          <w:rFonts w:eastAsia="Calibri"/>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pPr>
        <w:pStyle w:val="Normal"/>
        <w:spacing w:before="0" w:after="0"/>
        <w:ind w:firstLine="540"/>
        <w:contextualSpacing/>
        <w:jc w:val="both"/>
        <w:rPr>
          <w:rFonts w:eastAsia="Calibri"/>
          <w:sz w:val="21"/>
          <w:szCs w:val="21"/>
        </w:rPr>
      </w:pPr>
      <w:r>
        <w:rPr>
          <w:rFonts w:eastAsia="Calibri"/>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pPr>
        <w:pStyle w:val="Style25"/>
        <w:tabs>
          <w:tab w:val="left" w:pos="0" w:leader="none"/>
          <w:tab w:val="center" w:pos="540" w:leader="none"/>
        </w:tabs>
        <w:spacing w:before="0" w:after="0"/>
        <w:ind w:firstLine="708"/>
        <w:contextualSpacing/>
        <w:rPr>
          <w:sz w:val="21"/>
          <w:szCs w:val="21"/>
        </w:rPr>
      </w:pPr>
      <w:r>
        <w:rPr>
          <w:sz w:val="21"/>
          <w:szCs w:val="21"/>
        </w:rPr>
        <w:t xml:space="preserve"> </w:t>
      </w:r>
      <w:r>
        <w:rPr>
          <w:sz w:val="21"/>
          <w:szCs w:val="21"/>
        </w:rPr>
        <w:t>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pPr>
        <w:pStyle w:val="Style25"/>
        <w:tabs>
          <w:tab w:val="left" w:pos="0" w:leader="none"/>
          <w:tab w:val="center" w:pos="540" w:leader="none"/>
        </w:tabs>
        <w:spacing w:lineRule="auto" w:line="276" w:before="0" w:after="0"/>
        <w:ind w:firstLine="567"/>
        <w:contextualSpacing/>
        <w:rPr>
          <w:sz w:val="21"/>
          <w:szCs w:val="21"/>
        </w:rPr>
      </w:pPr>
      <w:r>
        <w:rPr>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pPr>
        <w:pStyle w:val="Style25"/>
        <w:tabs>
          <w:tab w:val="left" w:pos="0" w:leader="none"/>
          <w:tab w:val="center" w:pos="540" w:leader="none"/>
        </w:tabs>
        <w:spacing w:before="0" w:after="0"/>
        <w:contextualSpacing/>
        <w:rPr>
          <w:sz w:val="21"/>
          <w:szCs w:val="21"/>
        </w:rPr>
      </w:pPr>
      <w:r>
        <w:rPr>
          <w:sz w:val="21"/>
          <w:szCs w:val="21"/>
        </w:rPr>
        <w:t xml:space="preserve">          </w:t>
      </w:r>
      <w:r>
        <w:rPr>
          <w:sz w:val="21"/>
          <w:szCs w:val="21"/>
        </w:rPr>
        <w:t>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pPr>
        <w:pStyle w:val="Style25"/>
        <w:tabs>
          <w:tab w:val="left" w:pos="0" w:leader="none"/>
          <w:tab w:val="center" w:pos="540" w:leader="none"/>
        </w:tabs>
        <w:spacing w:before="0" w:after="0"/>
        <w:contextualSpacing/>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ОБЯЗАТЕЛЬСТВА СТОРОН</w:t>
      </w:r>
    </w:p>
    <w:p>
      <w:pPr>
        <w:pStyle w:val="Normal"/>
        <w:spacing w:before="0" w:after="0"/>
        <w:ind w:firstLine="708"/>
        <w:contextualSpacing/>
        <w:jc w:val="both"/>
        <w:rPr>
          <w:b/>
          <w:b/>
          <w:bCs/>
          <w:sz w:val="22"/>
          <w:szCs w:val="22"/>
        </w:rPr>
      </w:pPr>
      <w:r>
        <w:rPr>
          <w:b/>
          <w:bCs/>
          <w:sz w:val="22"/>
          <w:szCs w:val="22"/>
        </w:rPr>
        <w:t>4.1. Застройщик обязуется:</w:t>
      </w:r>
    </w:p>
    <w:p>
      <w:pPr>
        <w:pStyle w:val="Normal"/>
        <w:spacing w:before="0" w:after="0"/>
        <w:ind w:firstLine="708"/>
        <w:contextualSpacing/>
        <w:jc w:val="both"/>
        <w:rPr>
          <w:sz w:val="22"/>
          <w:szCs w:val="22"/>
        </w:rPr>
      </w:pPr>
      <w:r>
        <w:rPr>
          <w:sz w:val="22"/>
          <w:szCs w:val="22"/>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pPr>
        <w:pStyle w:val="Normal"/>
        <w:spacing w:before="0" w:after="0"/>
        <w:ind w:firstLine="708"/>
        <w:contextualSpacing/>
        <w:jc w:val="both"/>
        <w:rPr>
          <w:sz w:val="22"/>
          <w:szCs w:val="22"/>
        </w:rPr>
      </w:pPr>
      <w:r>
        <w:rPr>
          <w:sz w:val="22"/>
          <w:szCs w:val="22"/>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pPr>
        <w:pStyle w:val="Normal"/>
        <w:spacing w:before="0" w:after="0"/>
        <w:ind w:firstLine="708"/>
        <w:contextualSpacing/>
        <w:jc w:val="both"/>
        <w:rPr>
          <w:sz w:val="22"/>
          <w:szCs w:val="22"/>
        </w:rPr>
      </w:pPr>
      <w:r>
        <w:rPr>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pPr>
        <w:pStyle w:val="Normal"/>
        <w:spacing w:before="0" w:after="0"/>
        <w:ind w:firstLine="708"/>
        <w:contextualSpacing/>
        <w:jc w:val="both"/>
        <w:rPr>
          <w:sz w:val="22"/>
          <w:szCs w:val="22"/>
        </w:rPr>
      </w:pPr>
      <w:r>
        <w:rPr>
          <w:sz w:val="22"/>
          <w:szCs w:val="22"/>
        </w:rPr>
        <w:t>4.1.4. Вести бухгалтерский, оперативный и статистический учет всех расходов, связанных со строительством Объекта недвижимости.</w:t>
      </w:r>
    </w:p>
    <w:p>
      <w:pPr>
        <w:pStyle w:val="Normal"/>
        <w:spacing w:before="0" w:after="0"/>
        <w:ind w:firstLine="708"/>
        <w:contextualSpacing/>
        <w:jc w:val="both"/>
        <w:rPr>
          <w:sz w:val="22"/>
          <w:szCs w:val="22"/>
        </w:rPr>
      </w:pPr>
      <w:r>
        <w:rPr>
          <w:sz w:val="22"/>
          <w:szCs w:val="22"/>
        </w:rPr>
        <w:t>4.1.5.</w:t>
      </w:r>
      <w:r>
        <w:rPr>
          <w:sz w:val="22"/>
          <w:szCs w:val="22"/>
          <w:lang w:val="en-US"/>
        </w:rPr>
        <w:t> </w:t>
      </w:r>
      <w:r>
        <w:rPr>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pPr>
        <w:pStyle w:val="Normal"/>
        <w:spacing w:before="0" w:after="0"/>
        <w:ind w:firstLine="708"/>
        <w:contextualSpacing/>
        <w:jc w:val="both"/>
        <w:rPr>
          <w:sz w:val="22"/>
          <w:szCs w:val="22"/>
        </w:rPr>
      </w:pPr>
      <w:r>
        <w:rPr>
          <w:sz w:val="22"/>
          <w:szCs w:val="22"/>
        </w:rPr>
        <w:t>4.1.6.</w:t>
      </w:r>
      <w:r>
        <w:rPr>
          <w:sz w:val="22"/>
          <w:szCs w:val="22"/>
          <w:lang w:val="en-US"/>
        </w:rPr>
        <w:t> </w:t>
      </w:r>
      <w:r>
        <w:rPr>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pPr>
        <w:pStyle w:val="Normal"/>
        <w:spacing w:before="0" w:after="0"/>
        <w:ind w:firstLine="708"/>
        <w:contextualSpacing/>
        <w:jc w:val="both"/>
        <w:rPr>
          <w:sz w:val="22"/>
          <w:szCs w:val="22"/>
        </w:rPr>
      </w:pPr>
      <w:r>
        <w:rPr>
          <w:sz w:val="22"/>
          <w:szCs w:val="22"/>
        </w:rPr>
        <w:t>4.1.7. Обеспечить получение Разрешения на ввод в эксплуатацию.</w:t>
      </w:r>
    </w:p>
    <w:p>
      <w:pPr>
        <w:pStyle w:val="Normal"/>
        <w:spacing w:before="0" w:after="0"/>
        <w:ind w:firstLine="708"/>
        <w:contextualSpacing/>
        <w:jc w:val="both"/>
        <w:rPr>
          <w:sz w:val="22"/>
          <w:szCs w:val="22"/>
        </w:rPr>
      </w:pPr>
      <w:r>
        <w:rPr>
          <w:sz w:val="22"/>
          <w:szCs w:val="22"/>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pPr>
        <w:pStyle w:val="Normal"/>
        <w:spacing w:before="0" w:after="0"/>
        <w:ind w:firstLine="708"/>
        <w:contextualSpacing/>
        <w:jc w:val="both"/>
        <w:rPr>
          <w:sz w:val="22"/>
          <w:szCs w:val="22"/>
        </w:rPr>
      </w:pPr>
      <w:r>
        <w:rPr>
          <w:sz w:val="22"/>
          <w:szCs w:val="22"/>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3.5 Договора.</w:t>
      </w:r>
    </w:p>
    <w:p>
      <w:pPr>
        <w:pStyle w:val="Normal"/>
        <w:spacing w:before="0" w:after="0"/>
        <w:ind w:firstLine="708"/>
        <w:contextualSpacing/>
        <w:jc w:val="both"/>
        <w:rPr>
          <w:sz w:val="22"/>
          <w:szCs w:val="22"/>
        </w:rPr>
      </w:pPr>
      <w:r>
        <w:rPr>
          <w:sz w:val="22"/>
          <w:szCs w:val="22"/>
        </w:rPr>
        <w:t>4.1.10. Надлежащим образом, в соответствии с законодательством и пунктом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pPr>
        <w:pStyle w:val="Normal"/>
        <w:spacing w:before="0" w:after="0"/>
        <w:ind w:firstLine="708"/>
        <w:contextualSpacing/>
        <w:jc w:val="both"/>
        <w:rPr>
          <w:sz w:val="22"/>
          <w:szCs w:val="22"/>
        </w:rPr>
      </w:pPr>
      <w:r>
        <w:rPr>
          <w:sz w:val="22"/>
          <w:szCs w:val="22"/>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pPr>
        <w:pStyle w:val="Normal"/>
        <w:spacing w:before="0" w:after="0"/>
        <w:ind w:firstLine="708"/>
        <w:contextualSpacing/>
        <w:jc w:val="both"/>
        <w:rPr>
          <w:sz w:val="22"/>
          <w:szCs w:val="22"/>
        </w:rPr>
      </w:pPr>
      <w:r>
        <w:rPr>
          <w:sz w:val="22"/>
          <w:szCs w:val="22"/>
        </w:rPr>
        <w:t>4.1.12.</w:t>
      </w:r>
      <w:r>
        <w:rPr>
          <w:sz w:val="22"/>
          <w:szCs w:val="22"/>
          <w:lang w:val="en-US"/>
        </w:rPr>
        <w:t> </w:t>
      </w:r>
      <w:r>
        <w:rPr>
          <w:sz w:val="22"/>
          <w:szCs w:val="22"/>
        </w:rPr>
        <w:t>Выполнять иные функции застройщика (заказчика), необходимые для строительства Объекта недвижимости.</w:t>
      </w:r>
    </w:p>
    <w:p>
      <w:pPr>
        <w:pStyle w:val="Normal"/>
        <w:spacing w:before="0" w:after="0"/>
        <w:contextualSpacing/>
        <w:jc w:val="both"/>
        <w:rPr>
          <w:sz w:val="22"/>
          <w:szCs w:val="22"/>
        </w:rPr>
      </w:pPr>
      <w:r>
        <w:rPr>
          <w:sz w:val="22"/>
          <w:szCs w:val="22"/>
        </w:rPr>
      </w:r>
    </w:p>
    <w:p>
      <w:pPr>
        <w:pStyle w:val="Normal"/>
        <w:spacing w:before="0" w:after="0"/>
        <w:ind w:firstLine="708"/>
        <w:contextualSpacing/>
        <w:jc w:val="both"/>
        <w:rPr>
          <w:b/>
          <w:b/>
          <w:bCs/>
          <w:sz w:val="22"/>
          <w:szCs w:val="22"/>
        </w:rPr>
      </w:pPr>
      <w:r>
        <w:rPr>
          <w:b/>
          <w:bCs/>
          <w:sz w:val="22"/>
          <w:szCs w:val="22"/>
        </w:rPr>
        <w:t>4.2. Участник долевого строительства обязуется:</w:t>
      </w:r>
    </w:p>
    <w:p>
      <w:pPr>
        <w:pStyle w:val="Normal"/>
        <w:spacing w:before="0" w:after="0"/>
        <w:ind w:firstLine="708"/>
        <w:contextualSpacing/>
        <w:jc w:val="both"/>
        <w:rPr>
          <w:sz w:val="22"/>
          <w:szCs w:val="22"/>
        </w:rPr>
      </w:pPr>
      <w:r>
        <w:rPr>
          <w:sz w:val="22"/>
          <w:szCs w:val="22"/>
        </w:rPr>
        <w:t>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пунктом 3 Договора.</w:t>
      </w:r>
    </w:p>
    <w:p>
      <w:pPr>
        <w:pStyle w:val="Normal"/>
        <w:spacing w:before="0" w:after="0"/>
        <w:ind w:firstLine="708"/>
        <w:contextualSpacing/>
        <w:jc w:val="both"/>
        <w:rPr>
          <w:sz w:val="22"/>
          <w:szCs w:val="22"/>
        </w:rPr>
      </w:pPr>
      <w:r>
        <w:rPr>
          <w:sz w:val="22"/>
          <w:szCs w:val="22"/>
        </w:rPr>
        <w:t>4.2.2.</w:t>
      </w:r>
      <w:r>
        <w:rPr>
          <w:sz w:val="22"/>
          <w:szCs w:val="22"/>
          <w:lang w:val="en-US"/>
        </w:rPr>
        <w:t> </w:t>
      </w:r>
      <w:r>
        <w:rPr>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pPr>
        <w:pStyle w:val="Normal"/>
        <w:spacing w:before="0" w:after="0"/>
        <w:ind w:firstLine="708"/>
        <w:contextualSpacing/>
        <w:jc w:val="both"/>
        <w:rPr>
          <w:sz w:val="22"/>
          <w:szCs w:val="22"/>
        </w:rPr>
      </w:pPr>
      <w:r>
        <w:rPr>
          <w:sz w:val="22"/>
          <w:szCs w:val="22"/>
        </w:rPr>
        <w:t>4.2.3.</w:t>
      </w:r>
      <w:r>
        <w:rPr>
          <w:sz w:val="22"/>
          <w:szCs w:val="22"/>
          <w:lang w:val="en-US"/>
        </w:rPr>
        <w:t> </w:t>
      </w:r>
      <w:r>
        <w:rPr>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pPr>
        <w:pStyle w:val="Normal"/>
        <w:spacing w:before="0" w:after="0"/>
        <w:ind w:firstLine="708"/>
        <w:contextualSpacing/>
        <w:jc w:val="both"/>
        <w:rPr>
          <w:sz w:val="22"/>
          <w:szCs w:val="22"/>
        </w:rPr>
      </w:pPr>
      <w:r>
        <w:rPr>
          <w:sz w:val="22"/>
          <w:szCs w:val="22"/>
        </w:rPr>
        <w:t>4.2.4.</w:t>
      </w:r>
      <w:r>
        <w:rPr>
          <w:sz w:val="22"/>
          <w:szCs w:val="22"/>
          <w:lang w:val="en-US"/>
        </w:rPr>
        <w:t> </w:t>
      </w:r>
      <w:r>
        <w:rPr>
          <w:sz w:val="22"/>
          <w:szCs w:val="22"/>
        </w:rPr>
        <w:t>Согласовывать с Застройщиком согласно пункта 5 Договора заключение договоров об уступке прав с одновременным переводом долга (исполнение обязательств по оплате согласно п. 3.1. Договора).</w:t>
      </w:r>
    </w:p>
    <w:p>
      <w:pPr>
        <w:pStyle w:val="Normal"/>
        <w:spacing w:before="0" w:after="0"/>
        <w:ind w:firstLine="708"/>
        <w:contextualSpacing/>
        <w:jc w:val="both"/>
        <w:rPr>
          <w:sz w:val="22"/>
          <w:szCs w:val="22"/>
        </w:rPr>
      </w:pPr>
      <w:r>
        <w:rPr>
          <w:sz w:val="22"/>
          <w:szCs w:val="22"/>
        </w:rPr>
        <w:t>4.2.5. Принять у Застройщика Объект долевого строительства по передаточному акту в срок, установленный пунктом 2.5 Договора.</w:t>
      </w:r>
    </w:p>
    <w:p>
      <w:pPr>
        <w:pStyle w:val="Normal"/>
        <w:spacing w:before="0" w:after="0"/>
        <w:ind w:firstLine="708"/>
        <w:contextualSpacing/>
        <w:jc w:val="both"/>
        <w:rPr>
          <w:sz w:val="22"/>
          <w:szCs w:val="22"/>
        </w:rPr>
      </w:pPr>
      <w:r>
        <w:rPr>
          <w:sz w:val="22"/>
          <w:szCs w:val="22"/>
        </w:rPr>
        <w:t>4.2.6.</w:t>
      </w:r>
      <w:r>
        <w:rPr>
          <w:sz w:val="22"/>
          <w:szCs w:val="22"/>
          <w:lang w:val="en-US"/>
        </w:rPr>
        <w:t> </w:t>
      </w:r>
      <w:r>
        <w:rPr>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pPr>
        <w:pStyle w:val="Normal"/>
        <w:spacing w:before="0" w:after="0"/>
        <w:ind w:firstLine="708"/>
        <w:contextualSpacing/>
        <w:jc w:val="both"/>
        <w:rPr>
          <w:sz w:val="22"/>
          <w:szCs w:val="22"/>
        </w:rPr>
      </w:pPr>
      <w:r>
        <w:rPr>
          <w:sz w:val="22"/>
          <w:szCs w:val="22"/>
        </w:rPr>
        <w:t>4.2.7.</w:t>
      </w:r>
      <w:r>
        <w:rPr>
          <w:sz w:val="22"/>
          <w:szCs w:val="22"/>
          <w:lang w:val="en-US"/>
        </w:rPr>
        <w:t> </w:t>
      </w:r>
      <w:r>
        <w:rPr>
          <w:sz w:val="22"/>
          <w:szCs w:val="22"/>
        </w:rPr>
        <w:t>Надлежащим образом исполнять иные обязанности, возложенные на Участника долевого строительства законодательством и Договором.</w:t>
      </w:r>
    </w:p>
    <w:p>
      <w:pPr>
        <w:pStyle w:val="Normal"/>
        <w:spacing w:before="0" w:after="0"/>
        <w:ind w:firstLine="708"/>
        <w:contextualSpacing/>
        <w:jc w:val="both"/>
        <w:rPr>
          <w:sz w:val="22"/>
          <w:szCs w:val="22"/>
        </w:rPr>
      </w:pPr>
      <w:r>
        <w:rPr>
          <w:color w:val="000000"/>
          <w:sz w:val="22"/>
          <w:szCs w:val="22"/>
        </w:rPr>
        <w:t xml:space="preserve">4.3. </w:t>
      </w:r>
      <w:r>
        <w:rPr>
          <w:sz w:val="22"/>
          <w:szCs w:val="22"/>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pPr>
        <w:pStyle w:val="Normal"/>
        <w:spacing w:before="0" w:after="0"/>
        <w:ind w:firstLine="708"/>
        <w:contextualSpacing/>
        <w:jc w:val="both"/>
        <w:rPr>
          <w:sz w:val="22"/>
          <w:szCs w:val="22"/>
        </w:rPr>
      </w:pPr>
      <w:r>
        <w:rPr>
          <w:sz w:val="22"/>
          <w:szCs w:val="22"/>
        </w:rPr>
        <w:t>4.4. Внести в полном объеме денежные средства, составляющие Цену Договора, на счет эскроу в уполномоченном банке в размере, порядке и сроки, указанные в пункте 3.1. настоящего Договора.</w:t>
      </w:r>
    </w:p>
    <w:p>
      <w:pPr>
        <w:pStyle w:val="Normal"/>
        <w:spacing w:before="0" w:after="0"/>
        <w:ind w:firstLine="708"/>
        <w:contextualSpacing/>
        <w:rPr>
          <w:b/>
          <w:b/>
          <w:bCs/>
          <w:sz w:val="22"/>
          <w:szCs w:val="22"/>
        </w:rPr>
      </w:pPr>
      <w:r>
        <w:rPr>
          <w:b/>
          <w:bCs/>
          <w:sz w:val="22"/>
          <w:szCs w:val="22"/>
        </w:rPr>
      </w:r>
    </w:p>
    <w:p>
      <w:pPr>
        <w:pStyle w:val="ListParagraph"/>
        <w:numPr>
          <w:ilvl w:val="0"/>
          <w:numId w:val="1"/>
        </w:numPr>
        <w:ind w:left="0" w:firstLine="708"/>
        <w:jc w:val="center"/>
        <w:rPr>
          <w:b/>
          <w:b/>
          <w:bCs/>
          <w:sz w:val="22"/>
          <w:szCs w:val="22"/>
        </w:rPr>
      </w:pPr>
      <w:r>
        <w:rPr>
          <w:b/>
          <w:bCs/>
          <w:color w:val="000000"/>
          <w:sz w:val="22"/>
          <w:szCs w:val="22"/>
        </w:rPr>
        <w:t>УСТУПКА ПРАВ И</w:t>
      </w:r>
      <w:r>
        <w:rPr>
          <w:b/>
          <w:bCs/>
          <w:sz w:val="22"/>
          <w:szCs w:val="22"/>
        </w:rPr>
        <w:t xml:space="preserve"> ПЕРЕВОД ДОЛГА</w:t>
      </w:r>
    </w:p>
    <w:p>
      <w:pPr>
        <w:pStyle w:val="Normal"/>
        <w:spacing w:before="0" w:after="0"/>
        <w:ind w:firstLine="708"/>
        <w:contextualSpacing/>
        <w:jc w:val="both"/>
        <w:rPr>
          <w:sz w:val="22"/>
          <w:szCs w:val="22"/>
        </w:rPr>
      </w:pPr>
      <w:r>
        <w:rPr>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pPr>
        <w:pStyle w:val="Normal"/>
        <w:spacing w:before="0" w:after="0"/>
        <w:ind w:firstLine="708"/>
        <w:contextualSpacing/>
        <w:jc w:val="both"/>
        <w:rPr>
          <w:sz w:val="22"/>
          <w:szCs w:val="22"/>
        </w:rPr>
      </w:pPr>
      <w:r>
        <w:rPr>
          <w:sz w:val="22"/>
          <w:szCs w:val="22"/>
          <w:lang w:val="en-US"/>
        </w:rPr>
        <w:t> </w:t>
      </w:r>
      <w:r>
        <w:rPr>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pPr>
        <w:pStyle w:val="Normal"/>
        <w:spacing w:before="0" w:after="0"/>
        <w:ind w:firstLine="708"/>
        <w:contextualSpacing/>
        <w:jc w:val="both"/>
        <w:rPr>
          <w:sz w:val="22"/>
          <w:szCs w:val="22"/>
        </w:rPr>
      </w:pPr>
      <w:r>
        <w:rPr>
          <w:sz w:val="22"/>
          <w:szCs w:val="22"/>
        </w:rPr>
        <w:t xml:space="preserve">5.2. Уступка прав с одновременным переводом долга (исполнение обязательств по оплате согласно п. 3.1. Договора) производятся Участником долевого строительства только по предварительному письменному согласованию с Застройщиком (пункт 4.2.4 Договора). </w:t>
      </w:r>
    </w:p>
    <w:p>
      <w:pPr>
        <w:pStyle w:val="Normal"/>
        <w:spacing w:before="0" w:after="0"/>
        <w:ind w:firstLine="708"/>
        <w:contextualSpacing/>
        <w:jc w:val="both"/>
        <w:rPr>
          <w:sz w:val="22"/>
          <w:szCs w:val="22"/>
        </w:rPr>
      </w:pPr>
      <w:r>
        <w:rPr>
          <w:sz w:val="22"/>
          <w:szCs w:val="22"/>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pPr>
        <w:pStyle w:val="Default"/>
        <w:spacing w:lineRule="auto" w:line="276"/>
        <w:jc w:val="both"/>
        <w:rPr>
          <w:color w:val="auto"/>
          <w:sz w:val="22"/>
          <w:szCs w:val="22"/>
        </w:rPr>
      </w:pPr>
      <w:r>
        <w:rPr>
          <w:color w:val="auto"/>
          <w:sz w:val="22"/>
          <w:szCs w:val="22"/>
        </w:rPr>
        <w:t xml:space="preserve">           </w:t>
      </w:r>
      <w:r>
        <w:rPr>
          <w:color w:val="auto"/>
          <w:sz w:val="22"/>
          <w:szCs w:val="22"/>
        </w:rPr>
        <w:t xml:space="preserve">5.3.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pPr>
        <w:pStyle w:val="Default"/>
        <w:spacing w:lineRule="auto" w:line="276"/>
        <w:jc w:val="both"/>
        <w:rPr>
          <w:color w:val="auto"/>
          <w:sz w:val="22"/>
          <w:szCs w:val="22"/>
        </w:rPr>
      </w:pPr>
      <w:r>
        <w:rPr>
          <w:color w:val="auto"/>
          <w:sz w:val="22"/>
          <w:szCs w:val="22"/>
        </w:rPr>
        <w:t xml:space="preserve">           </w:t>
      </w:r>
      <w:r>
        <w:rPr>
          <w:color w:val="auto"/>
          <w:sz w:val="22"/>
          <w:szCs w:val="22"/>
        </w:rPr>
        <w:t xml:space="preserve">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4.1 настоящего Договора. </w:t>
      </w:r>
    </w:p>
    <w:p>
      <w:pPr>
        <w:pStyle w:val="Normal"/>
        <w:spacing w:before="0" w:after="0"/>
        <w:ind w:firstLine="708"/>
        <w:contextualSpacing/>
        <w:jc w:val="both"/>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ИСПОЛНЕНИЕ ОБЯЗАТЕЛЬСТВ</w:t>
      </w:r>
    </w:p>
    <w:p>
      <w:pPr>
        <w:pStyle w:val="Normal"/>
        <w:spacing w:before="0" w:after="0"/>
        <w:ind w:firstLine="708"/>
        <w:contextualSpacing/>
        <w:jc w:val="both"/>
        <w:rPr>
          <w:sz w:val="22"/>
          <w:szCs w:val="22"/>
        </w:rPr>
      </w:pPr>
      <w:r>
        <w:rPr>
          <w:sz w:val="22"/>
          <w:szCs w:val="22"/>
        </w:rPr>
        <w:t>6.1.</w:t>
      </w:r>
      <w:r>
        <w:rPr>
          <w:sz w:val="22"/>
          <w:szCs w:val="22"/>
          <w:lang w:val="en-US"/>
        </w:rPr>
        <w:t> </w:t>
      </w:r>
      <w:r>
        <w:rPr>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pPr>
        <w:pStyle w:val="Normal"/>
        <w:spacing w:before="0" w:after="0"/>
        <w:ind w:firstLine="708"/>
        <w:contextualSpacing/>
        <w:jc w:val="both"/>
        <w:rPr>
          <w:sz w:val="22"/>
          <w:szCs w:val="22"/>
        </w:rPr>
      </w:pPr>
      <w:r>
        <w:rPr>
          <w:sz w:val="22"/>
          <w:szCs w:val="22"/>
        </w:rPr>
        <w:t>6.2.</w:t>
      </w:r>
      <w:r>
        <w:rPr>
          <w:sz w:val="22"/>
          <w:szCs w:val="22"/>
          <w:lang w:val="en-US"/>
        </w:rPr>
        <w:t> </w:t>
      </w:r>
      <w:r>
        <w:rPr>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pPr>
        <w:pStyle w:val="Normal"/>
        <w:spacing w:before="0" w:after="0"/>
        <w:ind w:firstLine="708"/>
        <w:contextualSpacing/>
        <w:jc w:val="both"/>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ОТВЕТСТВЕННОСТЬ СТОРОН</w:t>
      </w:r>
    </w:p>
    <w:p>
      <w:pPr>
        <w:pStyle w:val="Normal"/>
        <w:spacing w:before="0" w:after="0"/>
        <w:ind w:firstLine="708"/>
        <w:contextualSpacing/>
        <w:jc w:val="both"/>
        <w:rPr>
          <w:sz w:val="22"/>
          <w:szCs w:val="22"/>
        </w:rPr>
      </w:pPr>
      <w:r>
        <w:rPr>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pPr>
        <w:pStyle w:val="Normal"/>
        <w:spacing w:before="0" w:after="0"/>
        <w:ind w:firstLine="708"/>
        <w:contextualSpacing/>
        <w:jc w:val="both"/>
        <w:rPr>
          <w:sz w:val="22"/>
          <w:szCs w:val="22"/>
        </w:rPr>
      </w:pPr>
      <w:r>
        <w:rPr>
          <w:sz w:val="22"/>
          <w:szCs w:val="22"/>
        </w:rPr>
        <w:t>7.2. 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before="0" w:after="0"/>
        <w:ind w:firstLine="708"/>
        <w:contextualSpacing/>
        <w:jc w:val="both"/>
        <w:rPr>
          <w:sz w:val="22"/>
          <w:szCs w:val="22"/>
        </w:rPr>
      </w:pPr>
      <w:r>
        <w:rPr>
          <w:sz w:val="22"/>
          <w:szCs w:val="22"/>
        </w:rPr>
        <w:t>7.3. 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before="0" w:after="0"/>
        <w:ind w:firstLine="708"/>
        <w:contextualSpacing/>
        <w:jc w:val="both"/>
        <w:rPr>
          <w:sz w:val="22"/>
          <w:szCs w:val="22"/>
        </w:rPr>
      </w:pPr>
      <w:r>
        <w:rPr>
          <w:sz w:val="22"/>
          <w:szCs w:val="22"/>
        </w:rPr>
        <w:t>7.4. В случае нарушения сроков возврата Участнику долевого строительства денежных средств согласно пунктам 10.4 и 10.6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 Участником долевого строительства.</w:t>
      </w:r>
    </w:p>
    <w:p>
      <w:pPr>
        <w:pStyle w:val="Normal"/>
        <w:spacing w:before="0" w:after="0"/>
        <w:ind w:firstLine="708"/>
        <w:contextualSpacing/>
        <w:jc w:val="both"/>
        <w:rPr>
          <w:sz w:val="22"/>
          <w:szCs w:val="22"/>
        </w:rPr>
      </w:pPr>
      <w:r>
        <w:rPr>
          <w:sz w:val="22"/>
          <w:szCs w:val="22"/>
        </w:rPr>
        <w:t>7.5.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
    <w:p>
      <w:pPr>
        <w:pStyle w:val="Normal"/>
        <w:spacing w:before="0" w:after="0"/>
        <w:ind w:firstLine="708"/>
        <w:contextualSpacing/>
        <w:jc w:val="both"/>
        <w:rPr>
          <w:sz w:val="22"/>
          <w:szCs w:val="22"/>
        </w:rPr>
      </w:pPr>
      <w:r>
        <w:rPr>
          <w:sz w:val="22"/>
          <w:szCs w:val="22"/>
        </w:rPr>
        <w:t>7.6. 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стопятидесятой ставки рефинансирования Центрального банка Российской Федерации,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w:t>
      </w:r>
    </w:p>
    <w:p>
      <w:pPr>
        <w:pStyle w:val="Normal"/>
        <w:spacing w:before="0" w:after="0"/>
        <w:ind w:firstLine="708"/>
        <w:contextualSpacing/>
        <w:jc w:val="both"/>
        <w:rPr>
          <w:sz w:val="22"/>
          <w:szCs w:val="22"/>
        </w:rPr>
      </w:pPr>
      <w:r>
        <w:rPr>
          <w:sz w:val="22"/>
          <w:szCs w:val="22"/>
        </w:rPr>
        <w:t>7.7. В случае приостановки действия разрешения на строительства компетентными органами (включая судебные),  Застройщик освобождается от ответственности за нарушения срока передачи Объекта долевого строительства, установленного пунктом 2.5 Договора.</w:t>
      </w:r>
    </w:p>
    <w:p>
      <w:pPr>
        <w:pStyle w:val="Normal"/>
        <w:spacing w:before="0" w:after="0"/>
        <w:contextualSpacing/>
        <w:jc w:val="both"/>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ФОРС-МАЖОР</w:t>
      </w:r>
    </w:p>
    <w:p>
      <w:pPr>
        <w:pStyle w:val="Normal"/>
        <w:spacing w:before="0" w:after="0"/>
        <w:ind w:firstLine="708"/>
        <w:contextualSpacing/>
        <w:jc w:val="both"/>
        <w:rPr>
          <w:sz w:val="22"/>
          <w:szCs w:val="22"/>
        </w:rPr>
      </w:pPr>
      <w:r>
        <w:rPr>
          <w:sz w:val="22"/>
          <w:szCs w:val="22"/>
        </w:rPr>
        <w:t>8.1.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pPr>
        <w:pStyle w:val="Normal"/>
        <w:spacing w:before="0" w:after="0"/>
        <w:ind w:firstLine="708"/>
        <w:contextualSpacing/>
        <w:jc w:val="both"/>
        <w:rPr>
          <w:sz w:val="22"/>
          <w:szCs w:val="22"/>
        </w:rPr>
      </w:pPr>
      <w:r>
        <w:rPr>
          <w:sz w:val="22"/>
          <w:szCs w:val="22"/>
        </w:rPr>
        <w:t>8.2.</w:t>
      </w:r>
      <w:r>
        <w:rPr>
          <w:sz w:val="22"/>
          <w:szCs w:val="22"/>
          <w:lang w:val="en-US"/>
        </w:rPr>
        <w:t> </w:t>
      </w:r>
      <w:r>
        <w:rPr>
          <w:sz w:val="22"/>
          <w:szCs w:val="22"/>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pPr>
        <w:pStyle w:val="Normal"/>
        <w:spacing w:before="0" w:after="0"/>
        <w:ind w:firstLine="708"/>
        <w:contextualSpacing/>
        <w:jc w:val="both"/>
        <w:rPr>
          <w:sz w:val="22"/>
          <w:szCs w:val="22"/>
        </w:rPr>
      </w:pPr>
      <w:r>
        <w:rPr>
          <w:sz w:val="22"/>
          <w:szCs w:val="22"/>
        </w:rPr>
        <w:t>8.3.</w:t>
      </w:r>
      <w:r>
        <w:rPr>
          <w:sz w:val="22"/>
          <w:szCs w:val="22"/>
          <w:lang w:val="en-US"/>
        </w:rPr>
        <w:t> </w:t>
      </w:r>
      <w:r>
        <w:rPr>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pPr>
        <w:pStyle w:val="Normal"/>
        <w:spacing w:before="0" w:after="0"/>
        <w:contextualSpacing/>
        <w:jc w:val="both"/>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ПОРЯДОК РАЗРЕШЕНИЯ СПОРОВ</w:t>
      </w:r>
    </w:p>
    <w:p>
      <w:pPr>
        <w:pStyle w:val="Normal"/>
        <w:spacing w:before="0" w:after="0"/>
        <w:ind w:firstLine="708"/>
        <w:contextualSpacing/>
        <w:jc w:val="both"/>
        <w:rPr>
          <w:color w:val="FF0000"/>
          <w:sz w:val="22"/>
          <w:szCs w:val="22"/>
        </w:rPr>
      </w:pPr>
      <w:r>
        <w:rPr>
          <w:sz w:val="22"/>
          <w:szCs w:val="22"/>
        </w:rPr>
        <w:t xml:space="preserve">9.1.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w:t>
      </w:r>
    </w:p>
    <w:p>
      <w:pPr>
        <w:pStyle w:val="Normal"/>
        <w:spacing w:before="0" w:after="0"/>
        <w:ind w:firstLine="708"/>
        <w:contextualSpacing/>
        <w:jc w:val="both"/>
        <w:rPr>
          <w:sz w:val="22"/>
          <w:szCs w:val="22"/>
        </w:rPr>
      </w:pPr>
      <w:r>
        <w:rPr>
          <w:sz w:val="22"/>
          <w:szCs w:val="22"/>
        </w:rPr>
      </w:r>
    </w:p>
    <w:p>
      <w:pPr>
        <w:pStyle w:val="ListParagraph"/>
        <w:numPr>
          <w:ilvl w:val="0"/>
          <w:numId w:val="1"/>
        </w:numPr>
        <w:ind w:left="0" w:firstLine="708"/>
        <w:jc w:val="center"/>
        <w:rPr>
          <w:b/>
          <w:b/>
          <w:bCs/>
          <w:sz w:val="22"/>
          <w:szCs w:val="22"/>
        </w:rPr>
      </w:pPr>
      <w:r>
        <w:rPr>
          <w:b/>
          <w:bCs/>
          <w:sz w:val="22"/>
          <w:szCs w:val="22"/>
        </w:rPr>
        <w:t>ДЕЙСТВИЕ, ИЗМЕНЕНИЕ И РАСТОРЖЕНИЕ ДОГОВОРА</w:t>
      </w:r>
    </w:p>
    <w:p>
      <w:pPr>
        <w:pStyle w:val="Normal"/>
        <w:spacing w:before="0" w:after="0"/>
        <w:ind w:firstLine="708"/>
        <w:contextualSpacing/>
        <w:jc w:val="both"/>
        <w:rPr>
          <w:sz w:val="22"/>
          <w:szCs w:val="22"/>
        </w:rPr>
      </w:pPr>
      <w:r>
        <w:rPr>
          <w:sz w:val="22"/>
          <w:szCs w:val="22"/>
        </w:rPr>
        <w:t>10.1.</w:t>
      </w:r>
      <w:r>
        <w:rPr>
          <w:sz w:val="22"/>
          <w:szCs w:val="22"/>
          <w:lang w:val="en-US"/>
        </w:rPr>
        <w:t> </w:t>
      </w:r>
      <w:r>
        <w:rPr>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pPr>
        <w:pStyle w:val="Normal"/>
        <w:spacing w:before="0" w:after="0"/>
        <w:ind w:firstLine="708"/>
        <w:contextualSpacing/>
        <w:jc w:val="both"/>
        <w:rPr>
          <w:sz w:val="22"/>
          <w:szCs w:val="22"/>
        </w:rPr>
      </w:pPr>
      <w:r>
        <w:rPr>
          <w:sz w:val="22"/>
          <w:szCs w:val="22"/>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softHyphen/>
        <w:t xml:space="preserve">ронной подписью  и зарегистрированы Регистрирующим органом, за исключением случаев, установленных Договором. В соответствии с </w:t>
      </w:r>
      <w:r>
        <w:fldChar w:fldCharType="begin"/>
      </w:r>
      <w:r>
        <w:rPr>
          <w:sz w:val="22"/>
          <w:u w:val="none"/>
          <w:szCs w:val="22"/>
          <w:color w:val="auto"/>
        </w:rPr>
        <w:instrText> HYPERLINK "https://legalacts.ru/doc/FZ-ob-jelektronnoj-podpisi/" \l "100046"</w:instrText>
      </w:r>
      <w:r>
        <w:rPr>
          <w:sz w:val="22"/>
          <w:u w:val="none"/>
          <w:szCs w:val="22"/>
          <w:color w:val="auto"/>
        </w:rPr>
        <w:fldChar w:fldCharType="separate"/>
      </w:r>
      <w:r>
        <w:rPr>
          <w:color w:val="auto"/>
          <w:sz w:val="22"/>
          <w:szCs w:val="22"/>
          <w:u w:val="none"/>
        </w:rPr>
        <w:t>частью 1 статьи 6</w:t>
      </w:r>
      <w:r>
        <w:rPr>
          <w:sz w:val="22"/>
          <w:u w:val="none"/>
          <w:szCs w:val="22"/>
          <w:color w:val="auto"/>
        </w:rPr>
        <w:fldChar w:fldCharType="end"/>
      </w:r>
      <w:r>
        <w:rPr>
          <w:sz w:val="22"/>
          <w:szCs w:val="22"/>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pPr>
        <w:pStyle w:val="Normal"/>
        <w:spacing w:before="0" w:after="0"/>
        <w:ind w:firstLine="708"/>
        <w:contextualSpacing/>
        <w:jc w:val="both"/>
        <w:rPr>
          <w:sz w:val="22"/>
          <w:szCs w:val="22"/>
        </w:rPr>
      </w:pPr>
      <w:r>
        <w:rPr>
          <w:sz w:val="22"/>
          <w:szCs w:val="22"/>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очередного(ых)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pPr>
        <w:pStyle w:val="Normal"/>
        <w:spacing w:before="0" w:after="0"/>
        <w:ind w:firstLine="708"/>
        <w:contextualSpacing/>
        <w:jc w:val="both"/>
        <w:rPr>
          <w:sz w:val="22"/>
          <w:szCs w:val="22"/>
        </w:rPr>
      </w:pPr>
      <w:r>
        <w:rPr>
          <w:sz w:val="22"/>
          <w:szCs w:val="22"/>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pPr>
        <w:pStyle w:val="Normal"/>
        <w:spacing w:before="0" w:after="0"/>
        <w:ind w:firstLine="708"/>
        <w:contextualSpacing/>
        <w:jc w:val="both"/>
        <w:rPr>
          <w:sz w:val="22"/>
          <w:szCs w:val="22"/>
        </w:rPr>
      </w:pPr>
      <w:r>
        <w:rPr>
          <w:sz w:val="22"/>
          <w:szCs w:val="22"/>
        </w:rPr>
        <w:t>10.5.</w:t>
      </w:r>
      <w:r>
        <w:rPr>
          <w:sz w:val="22"/>
          <w:szCs w:val="22"/>
          <w:lang w:val="en-US"/>
        </w:rPr>
        <w:t> </w:t>
      </w:r>
      <w:r>
        <w:rPr>
          <w:sz w:val="22"/>
          <w:szCs w:val="22"/>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Pr>
          <w:bCs/>
          <w:sz w:val="22"/>
          <w:szCs w:val="22"/>
        </w:rPr>
        <w:t>Закона об участии в долевом строительстве.</w:t>
      </w:r>
    </w:p>
    <w:p>
      <w:pPr>
        <w:pStyle w:val="Normal"/>
        <w:spacing w:before="0" w:after="0"/>
        <w:ind w:firstLine="708"/>
        <w:contextualSpacing/>
        <w:jc w:val="both"/>
        <w:rPr>
          <w:sz w:val="22"/>
          <w:szCs w:val="22"/>
        </w:rPr>
      </w:pPr>
      <w:r>
        <w:rPr>
          <w:sz w:val="22"/>
          <w:szCs w:val="22"/>
        </w:rPr>
        <w:t>10.6.</w:t>
      </w:r>
      <w:r>
        <w:rPr>
          <w:sz w:val="22"/>
          <w:szCs w:val="22"/>
          <w:lang w:val="en-US"/>
        </w:rPr>
        <w:t> </w:t>
      </w:r>
      <w:r>
        <w:rPr>
          <w:sz w:val="22"/>
          <w:szCs w:val="22"/>
        </w:rPr>
        <w:t>По требованию Сторон Договор может быть расторгнут в судебном порядке в случаях, предусмотренных Законом об участии в долевом строительстве и другими федеральными законами.</w:t>
      </w:r>
    </w:p>
    <w:p>
      <w:pPr>
        <w:pStyle w:val="Normal"/>
        <w:spacing w:before="0" w:after="0"/>
        <w:ind w:firstLine="708"/>
        <w:contextualSpacing/>
        <w:jc w:val="both"/>
        <w:rPr>
          <w:sz w:val="22"/>
          <w:szCs w:val="22"/>
        </w:rPr>
      </w:pPr>
      <w:r>
        <w:rPr>
          <w:sz w:val="22"/>
          <w:szCs w:val="22"/>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Normal"/>
        <w:spacing w:before="0" w:after="0"/>
        <w:ind w:firstLine="708"/>
        <w:contextualSpacing/>
        <w:rPr>
          <w:b/>
          <w:b/>
          <w:bCs/>
          <w:sz w:val="22"/>
          <w:szCs w:val="22"/>
        </w:rPr>
      </w:pPr>
      <w:r>
        <w:rPr>
          <w:b/>
          <w:bCs/>
          <w:sz w:val="22"/>
          <w:szCs w:val="22"/>
        </w:rPr>
      </w:r>
    </w:p>
    <w:p>
      <w:pPr>
        <w:pStyle w:val="Normal"/>
        <w:spacing w:before="0" w:after="0"/>
        <w:ind w:firstLine="708"/>
        <w:contextualSpacing/>
        <w:jc w:val="center"/>
        <w:rPr>
          <w:b/>
          <w:b/>
          <w:bCs/>
          <w:sz w:val="22"/>
          <w:szCs w:val="22"/>
        </w:rPr>
      </w:pPr>
      <w:r>
        <w:rPr>
          <w:b/>
          <w:bCs/>
          <w:sz w:val="22"/>
          <w:szCs w:val="22"/>
        </w:rPr>
        <w:t>11. ПРОЧИЕ УСЛОВИЯ</w:t>
      </w:r>
    </w:p>
    <w:p>
      <w:pPr>
        <w:pStyle w:val="Normal"/>
        <w:spacing w:before="0" w:after="0"/>
        <w:ind w:firstLine="708"/>
        <w:contextualSpacing/>
        <w:jc w:val="both"/>
        <w:rPr>
          <w:sz w:val="22"/>
          <w:szCs w:val="22"/>
        </w:rPr>
      </w:pPr>
      <w:r>
        <w:rPr>
          <w:sz w:val="22"/>
          <w:szCs w:val="22"/>
        </w:rPr>
        <w:t>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статье 12 Договора либо вручается под роспись представителю каждой из Сторон.</w:t>
      </w:r>
    </w:p>
    <w:p>
      <w:pPr>
        <w:pStyle w:val="Normal"/>
        <w:spacing w:before="0" w:after="0"/>
        <w:ind w:firstLine="708"/>
        <w:contextualSpacing/>
        <w:jc w:val="both"/>
        <w:rPr>
          <w:sz w:val="22"/>
          <w:szCs w:val="22"/>
        </w:rPr>
      </w:pPr>
      <w:r>
        <w:rPr>
          <w:sz w:val="22"/>
          <w:szCs w:val="22"/>
        </w:rPr>
        <w:t>11.2.</w:t>
      </w:r>
      <w:r>
        <w:rPr>
          <w:sz w:val="22"/>
          <w:szCs w:val="22"/>
          <w:lang w:val="en-US"/>
        </w:rPr>
        <w:t> </w:t>
      </w:r>
      <w:r>
        <w:rPr>
          <w:sz w:val="22"/>
          <w:szCs w:val="22"/>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pPr>
        <w:pStyle w:val="Normal"/>
        <w:spacing w:before="0" w:after="0"/>
        <w:ind w:firstLine="708"/>
        <w:contextualSpacing/>
        <w:jc w:val="both"/>
        <w:rPr>
          <w:sz w:val="22"/>
          <w:szCs w:val="22"/>
        </w:rPr>
      </w:pPr>
      <w:r>
        <w:rPr>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pPr>
        <w:pStyle w:val="Normal"/>
        <w:spacing w:before="0" w:after="0"/>
        <w:ind w:firstLine="708"/>
        <w:contextualSpacing/>
        <w:jc w:val="both"/>
        <w:rPr>
          <w:sz w:val="22"/>
          <w:szCs w:val="22"/>
        </w:rPr>
      </w:pPr>
      <w:r>
        <w:rPr>
          <w:sz w:val="22"/>
          <w:szCs w:val="22"/>
        </w:rPr>
        <w:t>11.4.</w:t>
      </w:r>
      <w:r>
        <w:rPr>
          <w:sz w:val="22"/>
          <w:szCs w:val="22"/>
          <w:lang w:val="en-US"/>
        </w:rPr>
        <w:t> </w:t>
      </w:r>
      <w:r>
        <w:rPr>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pPr>
        <w:pStyle w:val="Normal"/>
        <w:spacing w:before="0" w:after="0"/>
        <w:ind w:firstLine="708"/>
        <w:contextualSpacing/>
        <w:jc w:val="both"/>
        <w:rPr>
          <w:sz w:val="22"/>
          <w:szCs w:val="22"/>
        </w:rPr>
      </w:pPr>
      <w:r>
        <w:rPr>
          <w:sz w:val="22"/>
          <w:szCs w:val="22"/>
        </w:rPr>
        <w:t>11.5.</w:t>
      </w:r>
      <w:r>
        <w:rPr>
          <w:sz w:val="22"/>
          <w:szCs w:val="22"/>
          <w:lang w:val="en-US"/>
        </w:rPr>
        <w:t> </w:t>
      </w:r>
      <w:r>
        <w:rPr>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pPr>
        <w:pStyle w:val="Normal"/>
        <w:spacing w:before="0" w:after="0"/>
        <w:ind w:firstLine="708"/>
        <w:contextualSpacing/>
        <w:jc w:val="both"/>
        <w:rPr>
          <w:sz w:val="22"/>
          <w:szCs w:val="22"/>
        </w:rPr>
      </w:pPr>
      <w:r>
        <w:rPr>
          <w:sz w:val="22"/>
          <w:szCs w:val="22"/>
        </w:rPr>
        <w:t>11.6. Все Приложения, указанные в тексте Договора, являются неотъемлемой частью настоящего Договора,  а именно:</w:t>
      </w:r>
    </w:p>
    <w:p>
      <w:pPr>
        <w:pStyle w:val="Style31"/>
        <w:spacing w:before="0" w:after="0"/>
        <w:ind w:left="0" w:firstLine="708"/>
        <w:contextualSpacing/>
        <w:jc w:val="both"/>
        <w:rPr>
          <w:sz w:val="22"/>
          <w:szCs w:val="22"/>
        </w:rPr>
      </w:pPr>
      <w:r>
        <w:rPr>
          <w:sz w:val="22"/>
          <w:szCs w:val="22"/>
        </w:rPr>
        <w:t>-Приложение № 1 - План расположения Квартиры на этаже.</w:t>
      </w:r>
    </w:p>
    <w:p>
      <w:pPr>
        <w:pStyle w:val="Style31"/>
        <w:spacing w:before="0" w:after="0"/>
        <w:ind w:left="0" w:firstLine="708"/>
        <w:contextualSpacing/>
        <w:jc w:val="both"/>
        <w:rPr>
          <w:sz w:val="22"/>
          <w:szCs w:val="22"/>
        </w:rPr>
      </w:pPr>
      <w:r>
        <w:rPr>
          <w:sz w:val="22"/>
          <w:szCs w:val="22"/>
        </w:rPr>
        <w:t>-Приложение №2 - Перечень оборудования, виды и объем работ в Объекте долевого строительства</w:t>
      </w:r>
      <w:r>
        <w:rPr>
          <w:bCs/>
          <w:sz w:val="22"/>
          <w:szCs w:val="22"/>
        </w:rPr>
        <w:t>;</w:t>
      </w:r>
    </w:p>
    <w:p>
      <w:pPr>
        <w:pStyle w:val="Normal"/>
        <w:spacing w:before="0" w:after="0"/>
        <w:ind w:firstLine="708"/>
        <w:contextualSpacing/>
        <w:jc w:val="both"/>
        <w:rPr>
          <w:b/>
          <w:b/>
          <w:bCs/>
          <w:sz w:val="22"/>
          <w:szCs w:val="22"/>
        </w:rPr>
      </w:pPr>
      <w:r>
        <w:rPr>
          <w:sz w:val="22"/>
          <w:szCs w:val="22"/>
        </w:rPr>
        <w:t>11.7. Договор составлен в 4 (Четырех) экземплярах – один экземпляр для Застройщика и по одному экземпляру для Участника долевого строительства и Регистрирующего органа.</w:t>
      </w:r>
    </w:p>
    <w:p>
      <w:pPr>
        <w:pStyle w:val="Normal"/>
        <w:spacing w:before="0" w:after="0"/>
        <w:ind w:firstLine="708"/>
        <w:contextualSpacing/>
        <w:rPr>
          <w:b/>
          <w:b/>
          <w:bCs/>
          <w:sz w:val="22"/>
          <w:szCs w:val="22"/>
        </w:rPr>
      </w:pPr>
      <w:r>
        <w:rPr>
          <w:b/>
          <w:bCs/>
          <w:sz w:val="22"/>
          <w:szCs w:val="22"/>
        </w:rPr>
      </w:r>
    </w:p>
    <w:p>
      <w:pPr>
        <w:pStyle w:val="Normal"/>
        <w:spacing w:lineRule="auto" w:line="276"/>
        <w:ind w:firstLine="708"/>
        <w:rPr>
          <w:b/>
          <w:b/>
          <w:bCs/>
          <w:sz w:val="22"/>
          <w:szCs w:val="22"/>
        </w:rPr>
      </w:pPr>
      <w:r>
        <w:rPr>
          <w:b/>
          <w:bCs/>
          <w:sz w:val="22"/>
          <w:szCs w:val="22"/>
        </w:rPr>
      </w:r>
    </w:p>
    <w:p>
      <w:pPr>
        <w:pStyle w:val="ListParagraph"/>
        <w:numPr>
          <w:ilvl w:val="0"/>
          <w:numId w:val="2"/>
        </w:numPr>
        <w:spacing w:lineRule="auto" w:line="276"/>
        <w:ind w:left="720" w:firstLine="708"/>
        <w:jc w:val="center"/>
        <w:rPr>
          <w:b/>
          <w:b/>
          <w:bCs/>
          <w:sz w:val="22"/>
          <w:szCs w:val="22"/>
        </w:rPr>
      </w:pPr>
      <w:r>
        <w:rPr>
          <w:b/>
          <w:bCs/>
          <w:sz w:val="22"/>
          <w:szCs w:val="22"/>
        </w:rPr>
        <w:t>АДРЕСА, РЕКВИЗИТЫ И ПОДПИСИ СТОРОН</w:t>
      </w:r>
    </w:p>
    <w:p>
      <w:pPr>
        <w:pStyle w:val="Normal"/>
        <w:tabs>
          <w:tab w:val="clear" w:pos="708"/>
          <w:tab w:val="left" w:pos="4962" w:leader="none"/>
        </w:tabs>
        <w:jc w:val="right"/>
        <w:rPr>
          <w:sz w:val="22"/>
          <w:szCs w:val="22"/>
        </w:rPr>
      </w:pPr>
      <w:r>
        <w:rPr>
          <w:sz w:val="22"/>
          <w:szCs w:val="22"/>
        </w:rPr>
      </w:r>
    </w:p>
    <w:tbl>
      <w:tblPr>
        <w:tblpPr w:bottomFromText="0" w:horzAnchor="margin" w:leftFromText="180" w:rightFromText="180" w:tblpX="0" w:tblpY="-6" w:topFromText="0" w:vertAnchor="text"/>
        <w:tblW w:w="10314" w:type="dxa"/>
        <w:jc w:val="left"/>
        <w:tblInd w:w="108" w:type="dxa"/>
        <w:tblLayout w:type="fixed"/>
        <w:tblCellMar>
          <w:top w:w="0" w:type="dxa"/>
          <w:left w:w="108" w:type="dxa"/>
          <w:bottom w:w="0" w:type="dxa"/>
          <w:right w:w="108" w:type="dxa"/>
        </w:tblCellMar>
        <w:tblLook w:val="04a0"/>
      </w:tblPr>
      <w:tblGrid>
        <w:gridCol w:w="4791"/>
        <w:gridCol w:w="5522"/>
      </w:tblGrid>
      <w:tr>
        <w:trPr/>
        <w:tc>
          <w:tcPr>
            <w:tcW w:w="4791"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Normal"/>
              <w:widowControl w:val="false"/>
              <w:spacing w:lineRule="auto" w:line="276"/>
              <w:rPr>
                <w:sz w:val="22"/>
                <w:szCs w:val="22"/>
              </w:rPr>
            </w:pPr>
            <w:r>
              <w:rPr>
                <w:b/>
                <w:sz w:val="22"/>
                <w:szCs w:val="22"/>
              </w:rPr>
              <w:t>Застройщик: ООО «МОНОЛИТ-СТРОЙ»</w:t>
            </w:r>
          </w:p>
          <w:p>
            <w:pPr>
              <w:pStyle w:val="Normal"/>
              <w:widowControl w:val="false"/>
              <w:spacing w:lineRule="auto" w:line="276"/>
              <w:jc w:val="both"/>
              <w:rPr>
                <w:sz w:val="22"/>
                <w:szCs w:val="22"/>
              </w:rPr>
            </w:pPr>
            <w:r>
              <w:rPr>
                <w:sz w:val="22"/>
                <w:szCs w:val="22"/>
              </w:rPr>
              <w:t>Место нахождения: 143131, Московская обл., Рузский р-н, п. Тучково, ул. Восточная, д. 25;</w:t>
            </w:r>
          </w:p>
          <w:p>
            <w:pPr>
              <w:pStyle w:val="Normal"/>
              <w:widowControl w:val="false"/>
              <w:spacing w:lineRule="auto" w:line="276"/>
              <w:jc w:val="both"/>
              <w:rPr>
                <w:b/>
                <w:b/>
                <w:sz w:val="22"/>
                <w:szCs w:val="22"/>
              </w:rPr>
            </w:pPr>
            <w:r>
              <w:rPr>
                <w:b/>
                <w:sz w:val="22"/>
                <w:szCs w:val="22"/>
              </w:rPr>
              <w:t>ОГРН 1165075051020, ИНН 5075029038, КПП 507501001;</w:t>
            </w:r>
          </w:p>
          <w:p>
            <w:pPr>
              <w:pStyle w:val="Normal"/>
              <w:widowControl w:val="false"/>
              <w:spacing w:lineRule="auto" w:line="276"/>
              <w:jc w:val="both"/>
              <w:rPr>
                <w:sz w:val="21"/>
                <w:szCs w:val="21"/>
              </w:rPr>
            </w:pPr>
            <w:r>
              <w:rPr>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__________/</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highlight w:val="yellow"/>
                <w:vertAlign w:val="subscript"/>
              </w:rPr>
            </w:pPr>
            <w:r>
              <w:rPr>
                <w:sz w:val="21"/>
                <w:szCs w:val="21"/>
              </w:rPr>
              <w:t>«__» ____ 202_ года</w:t>
            </w:r>
          </w:p>
        </w:tc>
        <w:tc>
          <w:tcPr>
            <w:tcW w:w="5522"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tabs>
          <w:tab w:val="clear" w:pos="708"/>
          <w:tab w:val="left" w:pos="4962" w:leader="none"/>
        </w:tabs>
        <w:rPr/>
      </w:pPr>
      <w:r>
        <w:rPr/>
      </w:r>
    </w:p>
    <w:p>
      <w:pPr>
        <w:pStyle w:val="Normal"/>
        <w:tabs>
          <w:tab w:val="clear" w:pos="708"/>
          <w:tab w:val="left" w:pos="4962" w:leader="none"/>
        </w:tabs>
        <w:rPr/>
      </w:pPr>
      <w:r>
        <w:rPr/>
      </w:r>
    </w:p>
    <w:p>
      <w:pPr>
        <w:pStyle w:val="Normal"/>
        <w:tabs>
          <w:tab w:val="clear" w:pos="708"/>
          <w:tab w:val="left" w:pos="4962" w:leader="none"/>
        </w:tabs>
        <w:rPr/>
      </w:pPr>
      <w:r>
        <w:rPr/>
      </w:r>
    </w:p>
    <w:p>
      <w:pPr>
        <w:pStyle w:val="Normal"/>
        <w:tabs>
          <w:tab w:val="clear" w:pos="708"/>
          <w:tab w:val="left" w:pos="4962" w:leader="none"/>
        </w:tabs>
        <w:jc w:val="right"/>
        <w:rPr>
          <w:b/>
          <w:b/>
          <w:sz w:val="21"/>
          <w:szCs w:val="21"/>
        </w:rPr>
      </w:pPr>
      <w:r>
        <w:rPr>
          <w:b/>
          <w:sz w:val="21"/>
          <w:szCs w:val="21"/>
        </w:rPr>
        <w:t>Приложение № 1</w:t>
      </w:r>
    </w:p>
    <w:p>
      <w:pPr>
        <w:pStyle w:val="Normal"/>
        <w:tabs>
          <w:tab w:val="clear" w:pos="708"/>
          <w:tab w:val="left" w:pos="0" w:leader="none"/>
        </w:tabs>
        <w:spacing w:lineRule="auto" w:line="276"/>
        <w:ind w:right="-3" w:hanging="0"/>
        <w:jc w:val="right"/>
        <w:rPr>
          <w:b/>
          <w:b/>
          <w:bCs/>
          <w:sz w:val="21"/>
          <w:szCs w:val="21"/>
        </w:rPr>
      </w:pPr>
      <w:r>
        <w:rPr>
          <w:b/>
          <w:bCs/>
          <w:sz w:val="21"/>
          <w:szCs w:val="21"/>
        </w:rPr>
        <w:t xml:space="preserve">к Договору № ДДУ/ЮК-3-_ </w:t>
      </w:r>
      <w:r>
        <w:rPr>
          <w:vanish/>
          <w:color w:val="FF0000"/>
          <w:sz w:val="21"/>
          <w:szCs w:val="21"/>
        </w:rPr>
        <w:t>(СекцияЭтаж(двузначн.)НомерНаПлощадке)</w:t>
      </w:r>
    </w:p>
    <w:p>
      <w:pPr>
        <w:pStyle w:val="Normal"/>
        <w:tabs>
          <w:tab w:val="clear" w:pos="708"/>
          <w:tab w:val="left" w:pos="0" w:leader="none"/>
        </w:tabs>
        <w:spacing w:before="0" w:after="0"/>
        <w:ind w:right="-6" w:hanging="0"/>
        <w:contextualSpacing/>
        <w:jc w:val="right"/>
        <w:rPr>
          <w:b/>
          <w:b/>
          <w:sz w:val="21"/>
          <w:szCs w:val="21"/>
        </w:rPr>
      </w:pPr>
      <w:r>
        <w:rPr>
          <w:b/>
          <w:sz w:val="21"/>
          <w:szCs w:val="21"/>
        </w:rPr>
        <w:t>от «_» ________ 202_ года</w:t>
      </w:r>
    </w:p>
    <w:p>
      <w:pPr>
        <w:pStyle w:val="Normal"/>
        <w:rPr>
          <w:b/>
          <w:b/>
          <w:sz w:val="21"/>
          <w:szCs w:val="21"/>
        </w:rPr>
      </w:pPr>
      <w:r>
        <w:rPr>
          <w:b/>
          <w:sz w:val="21"/>
          <w:szCs w:val="21"/>
        </w:rPr>
      </w:r>
    </w:p>
    <w:p>
      <w:pPr>
        <w:pStyle w:val="Normal"/>
        <w:jc w:val="center"/>
        <w:rPr>
          <w:b/>
          <w:b/>
          <w:bCs/>
          <w:sz w:val="21"/>
          <w:szCs w:val="21"/>
        </w:rPr>
      </w:pPr>
      <w:r>
        <w:rPr>
          <w:b/>
          <w:bCs/>
          <w:sz w:val="21"/>
          <w:szCs w:val="21"/>
        </w:rPr>
      </w:r>
    </w:p>
    <w:p>
      <w:pPr>
        <w:pStyle w:val="Normal"/>
        <w:jc w:val="center"/>
        <w:rPr>
          <w:b/>
          <w:b/>
          <w:color w:val="000000"/>
          <w:sz w:val="22"/>
          <w:szCs w:val="22"/>
        </w:rPr>
      </w:pPr>
      <w:r>
        <w:rPr>
          <w:b/>
          <w:color w:val="000000"/>
          <w:sz w:val="22"/>
          <w:szCs w:val="22"/>
        </w:rPr>
        <w:t>Поэтажный план  Объекта недвижимости</w:t>
      </w:r>
    </w:p>
    <w:p>
      <w:pPr>
        <w:pStyle w:val="Normal"/>
        <w:jc w:val="center"/>
        <w:rPr>
          <w:b/>
          <w:b/>
          <w:bCs/>
          <w:sz w:val="22"/>
          <w:szCs w:val="22"/>
        </w:rPr>
      </w:pPr>
      <w:r>
        <w:rPr>
          <w:b/>
          <w:color w:val="000000"/>
          <w:sz w:val="22"/>
          <w:szCs w:val="22"/>
        </w:rPr>
        <w:t xml:space="preserve">  </w:t>
      </w:r>
      <w:r>
        <w:rPr>
          <w:b/>
          <w:color w:val="000000"/>
          <w:sz w:val="22"/>
          <w:szCs w:val="22"/>
        </w:rPr>
        <w:t xml:space="preserve">по строительному адресу: </w:t>
      </w:r>
      <w:r>
        <w:rPr>
          <w:b/>
          <w:bCs/>
          <w:sz w:val="22"/>
          <w:szCs w:val="22"/>
        </w:rPr>
        <w:t>Московская область, Раменский район, с.п. Островецкое, д. Островцы, мкр. «Новые Островцы», «Южный квартал», поз. 3 (</w:t>
      </w:r>
      <w:r>
        <w:rPr>
          <w:b/>
          <w:sz w:val="22"/>
          <w:szCs w:val="22"/>
        </w:rPr>
        <w:t>Фактический адрес объекта согласно данным ЕГРН: Московская область, Раменский район, Островецкий с/о, ЗАО Агрофирма «Подмосковное», уч. 1, уч. 2, уч. 3, уч. 4, уч. 5, уч. 6</w:t>
      </w:r>
      <w:r>
        <w:rPr>
          <w:b/>
          <w:bCs/>
          <w:sz w:val="22"/>
          <w:szCs w:val="22"/>
        </w:rPr>
        <w:t>).</w:t>
      </w:r>
    </w:p>
    <w:p>
      <w:pPr>
        <w:pStyle w:val="Normal"/>
        <w:rPr>
          <w:b/>
          <w:b/>
          <w:bCs/>
          <w:sz w:val="21"/>
          <w:szCs w:val="21"/>
        </w:rPr>
      </w:pPr>
      <w:r>
        <w:rPr>
          <w:b/>
          <w:bCs/>
          <w:sz w:val="21"/>
          <w:szCs w:val="21"/>
        </w:rPr>
      </w:r>
    </w:p>
    <w:p>
      <w:pPr>
        <w:pStyle w:val="Normal"/>
        <w:jc w:val="center"/>
        <w:rPr>
          <w:b/>
          <w:b/>
          <w:sz w:val="21"/>
          <w:szCs w:val="21"/>
        </w:rPr>
      </w:pPr>
      <w:r>
        <w:rPr>
          <w:b/>
          <w:sz w:val="21"/>
          <w:szCs w:val="21"/>
        </w:rPr>
        <w:t>План типового</w:t>
      </w:r>
      <w:r>
        <w:rPr>
          <w:vanish/>
          <w:color w:val="FF0000"/>
          <w:sz w:val="21"/>
          <w:szCs w:val="21"/>
        </w:rPr>
        <w:t xml:space="preserve"> (первого)</w:t>
      </w:r>
      <w:r>
        <w:rPr>
          <w:b/>
          <w:vanish/>
          <w:sz w:val="21"/>
          <w:szCs w:val="21"/>
        </w:rPr>
        <w:t xml:space="preserve"> </w:t>
      </w:r>
      <w:r>
        <w:rPr>
          <w:vanish/>
          <w:color w:val="FF0000"/>
          <w:sz w:val="21"/>
          <w:szCs w:val="21"/>
        </w:rPr>
        <w:t>999 9</w:t>
      </w:r>
      <w:r>
        <w:rPr>
          <w:b/>
          <w:sz w:val="21"/>
          <w:szCs w:val="21"/>
        </w:rPr>
        <w:t xml:space="preserve"> (жилого)  этажа _, секция _</w:t>
      </w:r>
    </w:p>
    <w:p>
      <w:pPr>
        <w:pStyle w:val="Normal"/>
        <w:numPr>
          <w:ilvl w:val="0"/>
          <w:numId w:val="0"/>
        </w:numPr>
        <w:tabs>
          <w:tab w:val="clear" w:pos="708"/>
          <w:tab w:val="left" w:pos="0" w:leader="none"/>
        </w:tabs>
        <w:spacing w:before="0" w:after="0"/>
        <w:ind w:right="-3" w:hanging="0"/>
        <w:contextualSpacing/>
        <w:jc w:val="right"/>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numPr>
          <w:ilvl w:val="0"/>
          <w:numId w:val="0"/>
        </w:numPr>
        <w:tabs>
          <w:tab w:val="clear" w:pos="708"/>
          <w:tab w:val="left" w:pos="0" w:leader="none"/>
        </w:tabs>
        <w:spacing w:before="0" w:after="0"/>
        <w:ind w:right="-3" w:hanging="0"/>
        <w:contextualSpacing/>
        <w:outlineLvl w:val="0"/>
        <w:rPr>
          <w:b/>
          <w:b/>
          <w:bCs/>
          <w:color w:val="000000"/>
          <w:sz w:val="22"/>
          <w:szCs w:val="22"/>
        </w:rPr>
      </w:pPr>
      <w:r>
        <w:rPr>
          <w:b/>
          <w:bCs/>
          <w:color w:val="000000"/>
          <w:sz w:val="22"/>
          <w:szCs w:val="22"/>
        </w:rPr>
      </w:r>
    </w:p>
    <w:p>
      <w:pPr>
        <w:pStyle w:val="Normal"/>
        <w:jc w:val="center"/>
        <w:rPr>
          <w:b/>
          <w:b/>
          <w:bCs/>
          <w:sz w:val="21"/>
          <w:szCs w:val="21"/>
        </w:rPr>
      </w:pPr>
      <w:r>
        <w:rPr>
          <w:b/>
          <w:bCs/>
          <w:sz w:val="21"/>
          <w:szCs w:val="21"/>
        </w:rPr>
        <w:t>ПОДПИСИ СТОРОН:</w:t>
      </w:r>
    </w:p>
    <w:p>
      <w:pPr>
        <w:pStyle w:val="Normal"/>
        <w:numPr>
          <w:ilvl w:val="0"/>
          <w:numId w:val="0"/>
        </w:numPr>
        <w:tabs>
          <w:tab w:val="clear" w:pos="708"/>
          <w:tab w:val="left" w:pos="0" w:leader="none"/>
          <w:tab w:val="left" w:pos="570" w:leader="none"/>
        </w:tabs>
        <w:spacing w:before="0" w:after="0"/>
        <w:ind w:right="-3" w:hanging="0"/>
        <w:contextualSpacing/>
        <w:outlineLvl w:val="0"/>
        <w:rPr>
          <w:b/>
          <w:b/>
          <w:sz w:val="21"/>
          <w:szCs w:val="21"/>
          <w:highlight w:val="yellow"/>
        </w:rPr>
      </w:pPr>
      <w:r>
        <w:rPr>
          <w:b/>
          <w:sz w:val="21"/>
          <w:szCs w:val="21"/>
          <w:highlight w:val="yellow"/>
        </w:rPr>
      </w:r>
    </w:p>
    <w:tbl>
      <w:tblPr>
        <w:tblpPr w:bottomFromText="0" w:horzAnchor="margin" w:leftFromText="180" w:rightFromText="180" w:tblpX="0" w:tblpY="-6" w:topFromText="0" w:vertAnchor="text"/>
        <w:tblW w:w="10314" w:type="dxa"/>
        <w:jc w:val="left"/>
        <w:tblInd w:w="108" w:type="dxa"/>
        <w:tblLayout w:type="fixed"/>
        <w:tblCellMar>
          <w:top w:w="0" w:type="dxa"/>
          <w:left w:w="108" w:type="dxa"/>
          <w:bottom w:w="0" w:type="dxa"/>
          <w:right w:w="108" w:type="dxa"/>
        </w:tblCellMar>
        <w:tblLook w:val="04a0"/>
      </w:tblPr>
      <w:tblGrid>
        <w:gridCol w:w="4791"/>
        <w:gridCol w:w="5522"/>
      </w:tblGrid>
      <w:tr>
        <w:trPr/>
        <w:tc>
          <w:tcPr>
            <w:tcW w:w="4791"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Normal"/>
              <w:widowControl w:val="false"/>
              <w:spacing w:lineRule="auto" w:line="276"/>
              <w:rPr>
                <w:sz w:val="22"/>
                <w:szCs w:val="22"/>
              </w:rPr>
            </w:pPr>
            <w:r>
              <w:rPr>
                <w:b/>
                <w:sz w:val="22"/>
                <w:szCs w:val="22"/>
              </w:rPr>
              <w:t>Застройщик: ООО «МОНОЛИТ-СТРОЙ»</w:t>
            </w:r>
          </w:p>
          <w:p>
            <w:pPr>
              <w:pStyle w:val="Normal"/>
              <w:widowControl w:val="false"/>
              <w:spacing w:lineRule="auto" w:line="276"/>
              <w:jc w:val="both"/>
              <w:rPr>
                <w:sz w:val="22"/>
                <w:szCs w:val="22"/>
              </w:rPr>
            </w:pPr>
            <w:r>
              <w:rPr>
                <w:sz w:val="22"/>
                <w:szCs w:val="22"/>
              </w:rPr>
              <w:t>Место нахождения: 143131, Московская обл., Рузский р-н, п. Тучково, ул. Восточная, д. 25;</w:t>
            </w:r>
          </w:p>
          <w:p>
            <w:pPr>
              <w:pStyle w:val="Normal"/>
              <w:widowControl w:val="false"/>
              <w:spacing w:lineRule="auto" w:line="276"/>
              <w:jc w:val="both"/>
              <w:rPr>
                <w:b/>
                <w:b/>
                <w:sz w:val="22"/>
                <w:szCs w:val="22"/>
              </w:rPr>
            </w:pPr>
            <w:r>
              <w:rPr>
                <w:b/>
                <w:sz w:val="22"/>
                <w:szCs w:val="22"/>
              </w:rPr>
              <w:t>ОГРН 1165075051020, ИНН 5075029038, КПП 507501001;</w:t>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Осадова Н.Е./</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highlight w:val="yellow"/>
                <w:vertAlign w:val="subscript"/>
              </w:rPr>
            </w:pPr>
            <w:r>
              <w:rPr>
                <w:sz w:val="21"/>
                <w:szCs w:val="21"/>
              </w:rPr>
              <w:t>«__» ____ 202_ года</w:t>
            </w:r>
          </w:p>
        </w:tc>
        <w:tc>
          <w:tcPr>
            <w:tcW w:w="5522"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numPr>
          <w:ilvl w:val="0"/>
          <w:numId w:val="0"/>
        </w:numPr>
        <w:tabs>
          <w:tab w:val="clear" w:pos="708"/>
          <w:tab w:val="left" w:pos="0" w:leader="none"/>
        </w:tabs>
        <w:spacing w:before="0" w:after="0"/>
        <w:ind w:right="-3" w:hanging="0"/>
        <w:contextualSpacing/>
        <w:jc w:val="right"/>
        <w:outlineLvl w:val="0"/>
        <w:rPr>
          <w:b/>
          <w:b/>
          <w:bCs/>
          <w:color w:val="000000"/>
          <w:sz w:val="22"/>
          <w:szCs w:val="22"/>
        </w:rPr>
      </w:pPr>
      <w:r>
        <w:rPr>
          <w:b/>
          <w:bCs/>
          <w:color w:val="000000"/>
          <w:sz w:val="22"/>
          <w:szCs w:val="22"/>
        </w:rPr>
      </w:r>
    </w:p>
    <w:p>
      <w:pPr>
        <w:pStyle w:val="Normal"/>
        <w:tabs>
          <w:tab w:val="clear" w:pos="708"/>
          <w:tab w:val="left" w:pos="4962" w:leader="none"/>
        </w:tabs>
        <w:rPr>
          <w:b/>
          <w:b/>
          <w:bCs/>
          <w:color w:val="000000"/>
          <w:sz w:val="22"/>
          <w:szCs w:val="22"/>
        </w:rPr>
      </w:pPr>
      <w:r>
        <w:rPr>
          <w:b/>
          <w:bCs/>
          <w:color w:val="000000"/>
          <w:sz w:val="22"/>
          <w:szCs w:val="22"/>
        </w:rPr>
      </w:r>
    </w:p>
    <w:p>
      <w:pPr>
        <w:pStyle w:val="Normal"/>
        <w:tabs>
          <w:tab w:val="clear" w:pos="708"/>
          <w:tab w:val="left" w:pos="4962" w:leader="none"/>
        </w:tabs>
        <w:rPr>
          <w:b/>
          <w:b/>
          <w:sz w:val="18"/>
          <w:szCs w:val="18"/>
        </w:rPr>
      </w:pPr>
      <w:r>
        <w:rPr>
          <w:b/>
          <w:sz w:val="18"/>
          <w:szCs w:val="18"/>
        </w:rPr>
      </w:r>
    </w:p>
    <w:p>
      <w:pPr>
        <w:pStyle w:val="Normal"/>
        <w:tabs>
          <w:tab w:val="clear" w:pos="708"/>
          <w:tab w:val="left" w:pos="4962" w:leader="none"/>
        </w:tabs>
        <w:jc w:val="right"/>
        <w:rPr>
          <w:b/>
          <w:b/>
          <w:sz w:val="18"/>
          <w:szCs w:val="18"/>
        </w:rPr>
      </w:pPr>
      <w:r>
        <w:rPr>
          <w:b/>
          <w:sz w:val="18"/>
          <w:szCs w:val="18"/>
        </w:rPr>
      </w:r>
    </w:p>
    <w:p>
      <w:pPr>
        <w:pStyle w:val="Normal"/>
        <w:tabs>
          <w:tab w:val="clear" w:pos="708"/>
          <w:tab w:val="left" w:pos="4962" w:leader="none"/>
        </w:tabs>
        <w:jc w:val="right"/>
        <w:rPr>
          <w:b/>
          <w:b/>
          <w:sz w:val="18"/>
          <w:szCs w:val="18"/>
        </w:rPr>
      </w:pPr>
      <w:r>
        <w:rPr>
          <w:b/>
          <w:sz w:val="18"/>
          <w:szCs w:val="18"/>
        </w:rPr>
      </w:r>
    </w:p>
    <w:p>
      <w:pPr>
        <w:pStyle w:val="Normal"/>
        <w:tabs>
          <w:tab w:val="clear" w:pos="708"/>
          <w:tab w:val="left" w:pos="4962" w:leader="none"/>
        </w:tabs>
        <w:jc w:val="right"/>
        <w:rPr>
          <w:b/>
          <w:b/>
          <w:sz w:val="18"/>
          <w:szCs w:val="18"/>
        </w:rPr>
      </w:pPr>
      <w:r>
        <w:rPr>
          <w:b/>
          <w:sz w:val="18"/>
          <w:szCs w:val="18"/>
        </w:rPr>
      </w:r>
    </w:p>
    <w:p>
      <w:pPr>
        <w:pStyle w:val="Normal"/>
        <w:tabs>
          <w:tab w:val="clear" w:pos="708"/>
          <w:tab w:val="left" w:pos="4962" w:leader="none"/>
        </w:tabs>
        <w:rPr>
          <w:b/>
          <w:b/>
          <w:sz w:val="18"/>
          <w:szCs w:val="18"/>
        </w:rPr>
      </w:pPr>
      <w:r>
        <w:rPr>
          <w:b/>
          <w:sz w:val="18"/>
          <w:szCs w:val="18"/>
        </w:rPr>
      </w:r>
    </w:p>
    <w:p>
      <w:pPr>
        <w:pStyle w:val="Normal"/>
        <w:tabs>
          <w:tab w:val="clear" w:pos="708"/>
          <w:tab w:val="left" w:pos="4962" w:leader="none"/>
        </w:tabs>
        <w:jc w:val="right"/>
        <w:rPr>
          <w:b/>
          <w:b/>
          <w:sz w:val="18"/>
          <w:szCs w:val="18"/>
        </w:rPr>
      </w:pPr>
      <w:r>
        <w:rPr>
          <w:b/>
          <w:sz w:val="18"/>
          <w:szCs w:val="18"/>
        </w:rPr>
      </w:r>
    </w:p>
    <w:p>
      <w:pPr>
        <w:pStyle w:val="Normal"/>
        <w:tabs>
          <w:tab w:val="clear" w:pos="708"/>
          <w:tab w:val="left" w:pos="4962" w:leader="none"/>
        </w:tabs>
        <w:jc w:val="right"/>
        <w:rPr>
          <w:b/>
          <w:b/>
          <w:sz w:val="18"/>
          <w:szCs w:val="18"/>
        </w:rPr>
      </w:pPr>
      <w:r>
        <w:rPr>
          <w:b/>
          <w:sz w:val="18"/>
          <w:szCs w:val="18"/>
        </w:rPr>
      </w:r>
    </w:p>
    <w:p>
      <w:pPr>
        <w:pStyle w:val="Normal"/>
        <w:jc w:val="right"/>
        <w:rPr>
          <w:sz w:val="21"/>
          <w:szCs w:val="21"/>
        </w:rPr>
      </w:pPr>
      <w:r>
        <w:rPr>
          <w:b/>
          <w:sz w:val="21"/>
          <w:szCs w:val="21"/>
        </w:rPr>
        <w:t>Приложение № 2</w:t>
      </w:r>
    </w:p>
    <w:p>
      <w:pPr>
        <w:pStyle w:val="Normal"/>
        <w:tabs>
          <w:tab w:val="clear" w:pos="708"/>
          <w:tab w:val="left" w:pos="0" w:leader="none"/>
        </w:tabs>
        <w:spacing w:lineRule="auto" w:line="276"/>
        <w:ind w:right="-3" w:hanging="0"/>
        <w:jc w:val="right"/>
        <w:rPr>
          <w:b/>
          <w:b/>
          <w:bCs/>
          <w:sz w:val="21"/>
          <w:szCs w:val="21"/>
        </w:rPr>
      </w:pPr>
      <w:r>
        <w:rPr>
          <w:b/>
          <w:bCs/>
          <w:sz w:val="21"/>
          <w:szCs w:val="21"/>
        </w:rPr>
        <w:t xml:space="preserve">к Договору № ДДУ/ЮК-3-_ </w:t>
      </w:r>
      <w:r>
        <w:rPr>
          <w:vanish/>
          <w:color w:val="FF0000"/>
          <w:sz w:val="21"/>
          <w:szCs w:val="21"/>
        </w:rPr>
        <w:t>(СекцияЭтаж(двузначн.)НомерНаПлощадке)</w:t>
      </w:r>
    </w:p>
    <w:p>
      <w:pPr>
        <w:pStyle w:val="Normal"/>
        <w:tabs>
          <w:tab w:val="clear" w:pos="708"/>
          <w:tab w:val="left" w:pos="0" w:leader="none"/>
        </w:tabs>
        <w:spacing w:before="0" w:after="0"/>
        <w:ind w:right="-6" w:hanging="0"/>
        <w:contextualSpacing/>
        <w:jc w:val="right"/>
        <w:rPr>
          <w:b/>
          <w:b/>
          <w:sz w:val="21"/>
          <w:szCs w:val="21"/>
        </w:rPr>
      </w:pPr>
      <w:r>
        <w:rPr>
          <w:b/>
          <w:sz w:val="21"/>
          <w:szCs w:val="21"/>
        </w:rPr>
        <w:t>от «_» ________ 202_ года</w:t>
      </w:r>
    </w:p>
    <w:p>
      <w:pPr>
        <w:pStyle w:val="Normal"/>
        <w:tabs>
          <w:tab w:val="clear" w:pos="708"/>
          <w:tab w:val="left" w:pos="0" w:leader="none"/>
        </w:tabs>
        <w:spacing w:before="0" w:after="0"/>
        <w:ind w:right="-6" w:hanging="0"/>
        <w:contextualSpacing/>
        <w:jc w:val="right"/>
        <w:rPr>
          <w:b/>
          <w:b/>
          <w:sz w:val="21"/>
          <w:szCs w:val="21"/>
        </w:rPr>
      </w:pPr>
      <w:r>
        <w:rPr>
          <w:b/>
          <w:sz w:val="21"/>
          <w:szCs w:val="21"/>
        </w:rPr>
      </w:r>
    </w:p>
    <w:p>
      <w:pPr>
        <w:pStyle w:val="Style31"/>
        <w:spacing w:before="0" w:after="0"/>
        <w:ind w:left="0" w:firstLine="720"/>
        <w:jc w:val="center"/>
        <w:rPr>
          <w:b/>
          <w:b/>
          <w:sz w:val="21"/>
          <w:szCs w:val="21"/>
        </w:rPr>
      </w:pPr>
      <w:r>
        <w:rPr>
          <w:b/>
          <w:sz w:val="21"/>
          <w:szCs w:val="21"/>
        </w:rPr>
        <w:t>Перечень оборудования, виды и объем работ в Объекте долевого строительства</w:t>
      </w:r>
    </w:p>
    <w:p>
      <w:pPr>
        <w:pStyle w:val="Style31"/>
        <w:spacing w:before="0" w:after="0"/>
        <w:ind w:left="0" w:firstLine="720"/>
        <w:jc w:val="center"/>
        <w:rPr>
          <w:b/>
          <w:b/>
          <w:color w:val="000000"/>
          <w:sz w:val="21"/>
          <w:szCs w:val="21"/>
        </w:rPr>
      </w:pPr>
      <w:r>
        <w:rPr>
          <w:b/>
          <w:color w:val="000000"/>
          <w:sz w:val="21"/>
          <w:szCs w:val="21"/>
        </w:rPr>
      </w:r>
    </w:p>
    <w:p>
      <w:pPr>
        <w:pStyle w:val="Normal"/>
        <w:spacing w:before="0" w:after="0"/>
        <w:ind w:firstLine="709"/>
        <w:contextualSpacing/>
        <w:jc w:val="both"/>
        <w:rPr>
          <w:sz w:val="21"/>
          <w:szCs w:val="21"/>
        </w:rPr>
      </w:pPr>
      <w:r>
        <w:rPr>
          <w:sz w:val="21"/>
          <w:szCs w:val="21"/>
        </w:rPr>
        <w:t>В Квартирах  многоэтажного жилого дома  производятся общестроительные и специальные работы в следующем объеме:</w:t>
      </w:r>
    </w:p>
    <w:p>
      <w:pPr>
        <w:pStyle w:val="Normal"/>
        <w:spacing w:before="0" w:after="0"/>
        <w:ind w:firstLine="142"/>
        <w:contextualSpacing/>
        <w:jc w:val="both"/>
        <w:rPr>
          <w:b/>
          <w:b/>
          <w:bCs/>
          <w:iCs/>
          <w:sz w:val="21"/>
          <w:szCs w:val="21"/>
        </w:rPr>
      </w:pPr>
      <w:r>
        <w:rPr>
          <w:b/>
          <w:bCs/>
          <w:sz w:val="21"/>
          <w:szCs w:val="21"/>
        </w:rPr>
        <w:t>1</w:t>
      </w:r>
      <w:r>
        <w:rPr>
          <w:b/>
          <w:bCs/>
          <w:iCs/>
          <w:sz w:val="21"/>
          <w:szCs w:val="21"/>
        </w:rPr>
        <w:t>. Отделочные работы:</w:t>
      </w:r>
    </w:p>
    <w:p>
      <w:pPr>
        <w:pStyle w:val="Normal"/>
        <w:spacing w:before="0" w:after="0"/>
        <w:ind w:firstLine="709"/>
        <w:contextualSpacing/>
        <w:jc w:val="both"/>
        <w:rPr>
          <w:sz w:val="21"/>
          <w:szCs w:val="21"/>
        </w:rPr>
      </w:pPr>
      <w:r>
        <w:rPr>
          <w:sz w:val="21"/>
          <w:szCs w:val="21"/>
        </w:rPr>
        <w:t xml:space="preserve">- </w:t>
      </w:r>
      <w:r>
        <w:rPr>
          <w:iCs/>
          <w:sz w:val="21"/>
          <w:szCs w:val="21"/>
        </w:rPr>
        <w:t>Потолки</w:t>
      </w:r>
      <w:r>
        <w:rPr>
          <w:sz w:val="21"/>
          <w:szCs w:val="21"/>
        </w:rPr>
        <w:t xml:space="preserve"> –  без отделки. </w:t>
      </w:r>
    </w:p>
    <w:p>
      <w:pPr>
        <w:pStyle w:val="Normal"/>
        <w:spacing w:before="0" w:after="0"/>
        <w:ind w:left="709" w:hanging="0"/>
        <w:contextualSpacing/>
        <w:jc w:val="both"/>
        <w:rPr>
          <w:sz w:val="21"/>
          <w:szCs w:val="21"/>
        </w:rPr>
      </w:pPr>
      <w:r>
        <w:rPr>
          <w:sz w:val="21"/>
          <w:szCs w:val="21"/>
        </w:rPr>
        <w:t xml:space="preserve">- Межквартирные </w:t>
      </w:r>
      <w:r>
        <w:rPr>
          <w:iCs/>
          <w:sz w:val="21"/>
          <w:szCs w:val="21"/>
        </w:rPr>
        <w:t xml:space="preserve">перегородки </w:t>
      </w:r>
      <w:r>
        <w:rPr>
          <w:sz w:val="21"/>
          <w:szCs w:val="21"/>
        </w:rPr>
        <w:t>– монолитные железобетонные пилоны и стены из ячеисто-бетонных блоков толщиной 200 мм γ=600 кг/м</w:t>
      </w:r>
      <w:r>
        <w:rPr>
          <w:sz w:val="21"/>
          <w:szCs w:val="21"/>
          <w:vertAlign w:val="superscript"/>
        </w:rPr>
        <w:t>3</w:t>
      </w:r>
      <w:r>
        <w:rPr>
          <w:sz w:val="21"/>
          <w:szCs w:val="21"/>
        </w:rPr>
        <w:t xml:space="preserve"> (без отделки). </w:t>
      </w:r>
    </w:p>
    <w:p>
      <w:pPr>
        <w:pStyle w:val="Normal"/>
        <w:spacing w:before="0" w:after="0"/>
        <w:ind w:left="709" w:hanging="0"/>
        <w:contextualSpacing/>
        <w:jc w:val="both"/>
        <w:rPr>
          <w:sz w:val="21"/>
          <w:szCs w:val="21"/>
        </w:rPr>
      </w:pPr>
      <w:r>
        <w:rPr>
          <w:sz w:val="21"/>
          <w:szCs w:val="21"/>
        </w:rPr>
        <w:t xml:space="preserve">- </w:t>
      </w:r>
      <w:r>
        <w:rPr>
          <w:iCs/>
          <w:sz w:val="21"/>
          <w:szCs w:val="21"/>
        </w:rPr>
        <w:t>Межкомнатные перегородки и перегородки санузлов</w:t>
      </w:r>
      <w:r>
        <w:rPr>
          <w:sz w:val="21"/>
          <w:szCs w:val="21"/>
        </w:rPr>
        <w:t>, в том числе отгораживающие  кухню возводятся на высоту 500 мм из пазогребневых гипсовых плит толщиной 80 мм γ=1200 кг/м</w:t>
      </w:r>
      <w:r>
        <w:rPr>
          <w:sz w:val="21"/>
          <w:szCs w:val="21"/>
          <w:vertAlign w:val="superscript"/>
        </w:rPr>
        <w:t>3</w:t>
      </w:r>
      <w:r>
        <w:rPr>
          <w:sz w:val="21"/>
          <w:szCs w:val="21"/>
        </w:rPr>
        <w:t xml:space="preserve"> (без отделки).</w:t>
      </w:r>
    </w:p>
    <w:p>
      <w:pPr>
        <w:pStyle w:val="Normal"/>
        <w:spacing w:before="0" w:after="0"/>
        <w:ind w:left="709" w:hanging="0"/>
        <w:contextualSpacing/>
        <w:jc w:val="both"/>
        <w:rPr>
          <w:sz w:val="21"/>
          <w:szCs w:val="21"/>
        </w:rPr>
      </w:pPr>
      <w:r>
        <w:rPr>
          <w:sz w:val="21"/>
          <w:szCs w:val="21"/>
        </w:rPr>
        <w:t xml:space="preserve">- </w:t>
      </w:r>
      <w:r>
        <w:rPr>
          <w:iCs/>
          <w:sz w:val="21"/>
          <w:szCs w:val="21"/>
        </w:rPr>
        <w:t>Окна</w:t>
      </w:r>
      <w:r>
        <w:rPr>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pPr>
        <w:pStyle w:val="Normal"/>
        <w:spacing w:before="0" w:after="0"/>
        <w:ind w:left="709" w:hanging="0"/>
        <w:contextualSpacing/>
        <w:rPr>
          <w:sz w:val="21"/>
          <w:szCs w:val="21"/>
        </w:rPr>
      </w:pPr>
      <w:r>
        <w:rPr>
          <w:sz w:val="21"/>
          <w:szCs w:val="21"/>
        </w:rPr>
        <w:t xml:space="preserve">- </w:t>
      </w:r>
      <w:r>
        <w:rPr>
          <w:iCs/>
          <w:sz w:val="21"/>
          <w:szCs w:val="21"/>
        </w:rPr>
        <w:t>Входная дверь</w:t>
      </w:r>
      <w:r>
        <w:rPr>
          <w:sz w:val="21"/>
          <w:szCs w:val="21"/>
        </w:rPr>
        <w:t xml:space="preserve"> –  деревянная типовая глухая, согласно проекту.</w:t>
      </w:r>
    </w:p>
    <w:p>
      <w:pPr>
        <w:pStyle w:val="Normal"/>
        <w:spacing w:before="0" w:after="0"/>
        <w:ind w:left="709" w:hanging="0"/>
        <w:contextualSpacing/>
        <w:rPr>
          <w:sz w:val="21"/>
          <w:szCs w:val="21"/>
        </w:rPr>
      </w:pPr>
      <w:r>
        <w:rPr>
          <w:sz w:val="21"/>
          <w:szCs w:val="21"/>
        </w:rPr>
        <w:t xml:space="preserve">- </w:t>
      </w:r>
      <w:r>
        <w:rPr>
          <w:iCs/>
          <w:sz w:val="21"/>
          <w:szCs w:val="21"/>
        </w:rPr>
        <w:t xml:space="preserve">Внутренние  двери </w:t>
      </w:r>
      <w:r>
        <w:rPr>
          <w:sz w:val="21"/>
          <w:szCs w:val="21"/>
        </w:rPr>
        <w:t>- не устанавливаются.</w:t>
      </w:r>
    </w:p>
    <w:p>
      <w:pPr>
        <w:pStyle w:val="Normal"/>
        <w:spacing w:before="0" w:after="0"/>
        <w:ind w:left="709" w:hanging="0"/>
        <w:contextualSpacing/>
        <w:rPr>
          <w:sz w:val="21"/>
          <w:szCs w:val="21"/>
        </w:rPr>
      </w:pPr>
      <w:r>
        <w:rPr>
          <w:iCs/>
          <w:sz w:val="21"/>
          <w:szCs w:val="21"/>
        </w:rPr>
        <w:t>- Полы</w:t>
      </w:r>
      <w:r>
        <w:rPr>
          <w:sz w:val="21"/>
          <w:szCs w:val="21"/>
        </w:rPr>
        <w:t xml:space="preserve"> – без стяжки и гидроизоляции с/у.</w:t>
      </w:r>
    </w:p>
    <w:p>
      <w:pPr>
        <w:pStyle w:val="Normal"/>
        <w:spacing w:before="0" w:after="0"/>
        <w:ind w:firstLine="142"/>
        <w:contextualSpacing/>
        <w:jc w:val="both"/>
        <w:rPr>
          <w:b/>
          <w:b/>
          <w:bCs/>
          <w:sz w:val="21"/>
          <w:szCs w:val="21"/>
        </w:rPr>
      </w:pPr>
      <w:r>
        <w:rPr>
          <w:b/>
          <w:bCs/>
          <w:sz w:val="21"/>
          <w:szCs w:val="21"/>
        </w:rPr>
        <w:t xml:space="preserve">2. </w:t>
      </w:r>
      <w:r>
        <w:rPr>
          <w:b/>
          <w:bCs/>
          <w:iCs/>
          <w:sz w:val="21"/>
          <w:szCs w:val="21"/>
        </w:rPr>
        <w:t>Санитарно-технические работы и оборудование:</w:t>
      </w:r>
      <w:r>
        <w:rPr>
          <w:b/>
          <w:bCs/>
          <w:sz w:val="21"/>
          <w:szCs w:val="21"/>
        </w:rPr>
        <w:t>  </w:t>
      </w:r>
    </w:p>
    <w:p>
      <w:pPr>
        <w:pStyle w:val="Normal"/>
        <w:spacing w:before="0" w:after="0"/>
        <w:ind w:left="709" w:hanging="0"/>
        <w:contextualSpacing/>
        <w:jc w:val="both"/>
        <w:rPr>
          <w:iCs/>
          <w:sz w:val="21"/>
          <w:szCs w:val="21"/>
        </w:rPr>
      </w:pPr>
      <w:r>
        <w:rPr>
          <w:bCs/>
          <w:sz w:val="21"/>
          <w:szCs w:val="21"/>
        </w:rPr>
        <w:t xml:space="preserve">- </w:t>
      </w:r>
      <w:r>
        <w:rPr>
          <w:iCs/>
          <w:sz w:val="21"/>
          <w:szCs w:val="21"/>
        </w:rPr>
        <w:t>Холодное и горячее водоснабжение:</w:t>
      </w:r>
    </w:p>
    <w:p>
      <w:pPr>
        <w:pStyle w:val="Normal"/>
        <w:spacing w:before="0" w:after="0"/>
        <w:ind w:left="709" w:hanging="0"/>
        <w:contextualSpacing/>
        <w:jc w:val="both"/>
        <w:rPr>
          <w:sz w:val="21"/>
          <w:szCs w:val="21"/>
        </w:rPr>
      </w:pPr>
      <w:r>
        <w:rPr>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pPr>
        <w:pStyle w:val="Normal"/>
        <w:spacing w:before="0" w:after="0"/>
        <w:ind w:left="709" w:hanging="0"/>
        <w:contextualSpacing/>
        <w:jc w:val="both"/>
        <w:rPr>
          <w:iCs/>
          <w:sz w:val="21"/>
          <w:szCs w:val="21"/>
        </w:rPr>
      </w:pPr>
      <w:r>
        <w:rPr>
          <w:iCs/>
          <w:sz w:val="21"/>
          <w:szCs w:val="21"/>
        </w:rPr>
        <w:t>- Сантехоборудование:</w:t>
      </w:r>
    </w:p>
    <w:p>
      <w:pPr>
        <w:pStyle w:val="Normal"/>
        <w:spacing w:before="0" w:after="0"/>
        <w:ind w:left="709" w:hanging="0"/>
        <w:contextualSpacing/>
        <w:jc w:val="both"/>
        <w:rPr>
          <w:sz w:val="21"/>
          <w:szCs w:val="21"/>
        </w:rPr>
      </w:pPr>
      <w:r>
        <w:rPr>
          <w:sz w:val="21"/>
          <w:szCs w:val="21"/>
        </w:rPr>
        <w:t>Ванны,  умывальники,  унитазы-компакты, мойки  - не устанавливаются.</w:t>
      </w:r>
    </w:p>
    <w:p>
      <w:pPr>
        <w:pStyle w:val="Normal"/>
        <w:spacing w:before="0" w:after="0"/>
        <w:ind w:left="709" w:hanging="0"/>
        <w:contextualSpacing/>
        <w:jc w:val="both"/>
        <w:rPr>
          <w:iCs/>
          <w:sz w:val="21"/>
          <w:szCs w:val="21"/>
        </w:rPr>
      </w:pPr>
      <w:r>
        <w:rPr>
          <w:sz w:val="21"/>
          <w:szCs w:val="21"/>
        </w:rPr>
        <w:t xml:space="preserve">- </w:t>
      </w:r>
      <w:r>
        <w:rPr>
          <w:iCs/>
          <w:sz w:val="21"/>
          <w:szCs w:val="21"/>
        </w:rPr>
        <w:t>Фекальная канализация:</w:t>
      </w:r>
    </w:p>
    <w:p>
      <w:pPr>
        <w:pStyle w:val="Normal"/>
        <w:spacing w:before="0" w:after="0"/>
        <w:ind w:left="709" w:hanging="0"/>
        <w:contextualSpacing/>
        <w:jc w:val="both"/>
        <w:rPr>
          <w:sz w:val="21"/>
          <w:szCs w:val="21"/>
        </w:rPr>
      </w:pPr>
      <w:r>
        <w:rPr>
          <w:sz w:val="21"/>
          <w:szCs w:val="21"/>
        </w:rPr>
        <w:t>Выполняется монтаж стояков. Подводка канализационных труб  к сантехническим приборам не  выполняется.</w:t>
      </w:r>
    </w:p>
    <w:p>
      <w:pPr>
        <w:pStyle w:val="Normal"/>
        <w:spacing w:before="0" w:after="0"/>
        <w:ind w:left="709" w:hanging="0"/>
        <w:contextualSpacing/>
        <w:jc w:val="both"/>
        <w:rPr>
          <w:iCs/>
          <w:sz w:val="21"/>
          <w:szCs w:val="21"/>
        </w:rPr>
      </w:pPr>
      <w:r>
        <w:rPr>
          <w:sz w:val="21"/>
          <w:szCs w:val="21"/>
        </w:rPr>
        <w:t xml:space="preserve">- </w:t>
      </w:r>
      <w:r>
        <w:rPr>
          <w:iCs/>
          <w:sz w:val="21"/>
          <w:szCs w:val="21"/>
        </w:rPr>
        <w:t>Система отопления:</w:t>
      </w:r>
    </w:p>
    <w:p>
      <w:pPr>
        <w:pStyle w:val="Normal"/>
        <w:spacing w:before="0" w:after="0"/>
        <w:ind w:left="709" w:hanging="0"/>
        <w:contextualSpacing/>
        <w:jc w:val="both"/>
        <w:rPr>
          <w:sz w:val="21"/>
          <w:szCs w:val="21"/>
        </w:rPr>
      </w:pPr>
      <w:r>
        <w:rPr>
          <w:iCs/>
          <w:sz w:val="21"/>
          <w:szCs w:val="21"/>
        </w:rPr>
        <w:t>У</w:t>
      </w:r>
      <w:r>
        <w:rPr>
          <w:sz w:val="21"/>
          <w:szCs w:val="21"/>
        </w:rPr>
        <w:t>станавливаются стояки, отопительные приборы согласно проекту.</w:t>
      </w:r>
    </w:p>
    <w:p>
      <w:pPr>
        <w:pStyle w:val="Normal"/>
        <w:spacing w:before="0" w:after="0"/>
        <w:ind w:firstLine="142"/>
        <w:contextualSpacing/>
        <w:jc w:val="both"/>
        <w:rPr>
          <w:b/>
          <w:b/>
          <w:bCs/>
          <w:iCs/>
          <w:sz w:val="21"/>
          <w:szCs w:val="21"/>
        </w:rPr>
      </w:pPr>
      <w:r>
        <w:rPr>
          <w:b/>
          <w:bCs/>
          <w:sz w:val="21"/>
          <w:szCs w:val="21"/>
        </w:rPr>
        <w:t xml:space="preserve">3. </w:t>
      </w:r>
      <w:r>
        <w:rPr>
          <w:b/>
          <w:bCs/>
          <w:iCs/>
          <w:sz w:val="21"/>
          <w:szCs w:val="21"/>
        </w:rPr>
        <w:t>Электромонтажные работы и оборудование:</w:t>
      </w:r>
    </w:p>
    <w:p>
      <w:pPr>
        <w:pStyle w:val="Normal"/>
        <w:spacing w:before="0" w:after="0"/>
        <w:ind w:left="709" w:hanging="0"/>
        <w:contextualSpacing/>
        <w:jc w:val="both"/>
        <w:rPr>
          <w:sz w:val="21"/>
          <w:szCs w:val="21"/>
        </w:rPr>
      </w:pPr>
      <w:r>
        <w:rPr>
          <w:sz w:val="21"/>
          <w:szCs w:val="21"/>
        </w:rPr>
        <w:t>- Устанавливается щит механизации в квартире.</w:t>
      </w:r>
    </w:p>
    <w:p>
      <w:pPr>
        <w:pStyle w:val="Normal"/>
        <w:spacing w:before="0" w:after="0"/>
        <w:ind w:left="709" w:hanging="0"/>
        <w:contextualSpacing/>
        <w:jc w:val="both"/>
        <w:rPr>
          <w:sz w:val="21"/>
          <w:szCs w:val="21"/>
        </w:rPr>
      </w:pPr>
      <w:r>
        <w:rPr>
          <w:sz w:val="21"/>
          <w:szCs w:val="21"/>
        </w:rPr>
        <w:t>- Разводка проводов слаботочных систем (телефонизация, телевидение, интернет. ) выполняется только до поэтажного распределительного щита без ввода в квартиру.</w:t>
      </w:r>
    </w:p>
    <w:p>
      <w:pPr>
        <w:pStyle w:val="Normal"/>
        <w:spacing w:before="0" w:after="0"/>
        <w:ind w:left="709" w:hanging="0"/>
        <w:contextualSpacing/>
        <w:jc w:val="both"/>
        <w:rPr>
          <w:sz w:val="21"/>
          <w:szCs w:val="21"/>
        </w:rPr>
      </w:pPr>
      <w:r>
        <w:rPr>
          <w:sz w:val="21"/>
          <w:szCs w:val="21"/>
        </w:rPr>
        <w:t>- Сеть  домофонной связи прокладывается до исполнительных устройств (ПУ)квартир.</w:t>
      </w:r>
    </w:p>
    <w:p>
      <w:pPr>
        <w:pStyle w:val="Normal"/>
        <w:spacing w:before="0" w:after="0"/>
        <w:ind w:left="709" w:hanging="0"/>
        <w:contextualSpacing/>
        <w:jc w:val="both"/>
        <w:rPr>
          <w:sz w:val="21"/>
          <w:szCs w:val="21"/>
        </w:rPr>
      </w:pPr>
      <w:r>
        <w:rPr>
          <w:sz w:val="21"/>
          <w:szCs w:val="21"/>
        </w:rPr>
        <w:t xml:space="preserve">- ПУ квартир приобретаются за счет владельцев квартир.   </w:t>
      </w:r>
    </w:p>
    <w:p>
      <w:pPr>
        <w:pStyle w:val="Normal"/>
        <w:spacing w:before="0" w:after="0"/>
        <w:ind w:left="709" w:hanging="0"/>
        <w:contextualSpacing/>
        <w:jc w:val="both"/>
        <w:rPr>
          <w:sz w:val="21"/>
          <w:szCs w:val="21"/>
        </w:rPr>
      </w:pPr>
      <w:r>
        <w:rPr>
          <w:sz w:val="21"/>
          <w:szCs w:val="21"/>
        </w:rPr>
        <w:t>- Электрическая разводка по квартире не выполняется.</w:t>
      </w:r>
    </w:p>
    <w:p>
      <w:pPr>
        <w:pStyle w:val="Normal"/>
        <w:spacing w:before="0" w:after="0"/>
        <w:ind w:left="709" w:hanging="0"/>
        <w:contextualSpacing/>
        <w:jc w:val="both"/>
        <w:rPr>
          <w:sz w:val="21"/>
          <w:szCs w:val="21"/>
        </w:rPr>
      </w:pPr>
      <w:r>
        <w:rPr>
          <w:sz w:val="21"/>
          <w:szCs w:val="21"/>
        </w:rPr>
        <w:t>- Устанавливаются  датчики пожарной сигнализации по квартирам.</w:t>
      </w:r>
    </w:p>
    <w:p>
      <w:pPr>
        <w:pStyle w:val="Normal"/>
        <w:spacing w:before="0" w:after="0"/>
        <w:contextualSpacing/>
        <w:rPr>
          <w:b/>
          <w:b/>
          <w:bCs/>
          <w:sz w:val="22"/>
          <w:szCs w:val="22"/>
        </w:rPr>
      </w:pPr>
      <w:r>
        <w:rPr>
          <w:b/>
          <w:bCs/>
          <w:sz w:val="22"/>
          <w:szCs w:val="22"/>
        </w:rPr>
      </w:r>
    </w:p>
    <w:p>
      <w:pPr>
        <w:pStyle w:val="Normal"/>
        <w:spacing w:before="0" w:after="0"/>
        <w:contextualSpacing/>
        <w:jc w:val="center"/>
        <w:rPr>
          <w:b/>
          <w:b/>
          <w:bCs/>
          <w:sz w:val="22"/>
          <w:szCs w:val="22"/>
        </w:rPr>
      </w:pPr>
      <w:r>
        <w:rPr>
          <w:b/>
          <w:bCs/>
          <w:sz w:val="22"/>
          <w:szCs w:val="22"/>
        </w:rPr>
        <w:t>ПОДПИСИ СТОРОН:</w:t>
      </w:r>
    </w:p>
    <w:p>
      <w:pPr>
        <w:pStyle w:val="Normal"/>
        <w:spacing w:before="0" w:after="0"/>
        <w:contextualSpacing/>
        <w:jc w:val="center"/>
        <w:rPr>
          <w:b/>
          <w:b/>
          <w:bCs/>
          <w:sz w:val="22"/>
          <w:szCs w:val="22"/>
        </w:rPr>
      </w:pPr>
      <w:r>
        <w:rPr>
          <w:b/>
          <w:bCs/>
          <w:sz w:val="22"/>
          <w:szCs w:val="22"/>
        </w:rPr>
        <w:t xml:space="preserve"> </w:t>
      </w:r>
    </w:p>
    <w:tbl>
      <w:tblPr>
        <w:tblpPr w:bottomFromText="0" w:horzAnchor="margin" w:leftFromText="180" w:rightFromText="180" w:tblpX="0" w:tblpY="-6" w:topFromText="0" w:vertAnchor="text"/>
        <w:tblW w:w="10314" w:type="dxa"/>
        <w:jc w:val="left"/>
        <w:tblInd w:w="108" w:type="dxa"/>
        <w:tblLayout w:type="fixed"/>
        <w:tblCellMar>
          <w:top w:w="0" w:type="dxa"/>
          <w:left w:w="108" w:type="dxa"/>
          <w:bottom w:w="0" w:type="dxa"/>
          <w:right w:w="108" w:type="dxa"/>
        </w:tblCellMar>
        <w:tblLook w:val="04a0"/>
      </w:tblPr>
      <w:tblGrid>
        <w:gridCol w:w="4791"/>
        <w:gridCol w:w="5522"/>
      </w:tblGrid>
      <w:tr>
        <w:trPr/>
        <w:tc>
          <w:tcPr>
            <w:tcW w:w="4791" w:type="dxa"/>
            <w:tcBorders/>
          </w:tcPr>
          <w:p>
            <w:pPr>
              <w:pStyle w:val="Normal"/>
              <w:widowControl w:val="false"/>
              <w:spacing w:lineRule="auto" w:line="276"/>
              <w:jc w:val="center"/>
              <w:rPr>
                <w:b/>
                <w:b/>
                <w:sz w:val="21"/>
                <w:szCs w:val="21"/>
                <w:u w:val="single"/>
              </w:rPr>
            </w:pPr>
            <w:r>
              <w:rPr>
                <w:b/>
                <w:sz w:val="21"/>
                <w:szCs w:val="21"/>
                <w:u w:val="single"/>
              </w:rPr>
              <w:t>Застройщик:</w:t>
            </w:r>
          </w:p>
          <w:p>
            <w:pPr>
              <w:pStyle w:val="Normal"/>
              <w:widowControl w:val="false"/>
              <w:spacing w:lineRule="auto" w:line="276"/>
              <w:rPr>
                <w:sz w:val="22"/>
                <w:szCs w:val="22"/>
              </w:rPr>
            </w:pPr>
            <w:r>
              <w:rPr>
                <w:b/>
                <w:sz w:val="22"/>
                <w:szCs w:val="22"/>
              </w:rPr>
              <w:t>Застройщик: ООО «МОНОЛИТ-СТРОЙ»</w:t>
            </w:r>
          </w:p>
          <w:p>
            <w:pPr>
              <w:pStyle w:val="Normal"/>
              <w:widowControl w:val="false"/>
              <w:spacing w:lineRule="auto" w:line="276"/>
              <w:jc w:val="both"/>
              <w:rPr>
                <w:sz w:val="22"/>
                <w:szCs w:val="22"/>
              </w:rPr>
            </w:pPr>
            <w:r>
              <w:rPr>
                <w:sz w:val="22"/>
                <w:szCs w:val="22"/>
              </w:rPr>
              <w:t>Место нахождения: 143131, Московская обл., Рузский р-н, п. Тучково, ул. Восточная, д. 25;</w:t>
            </w:r>
          </w:p>
          <w:p>
            <w:pPr>
              <w:pStyle w:val="Normal"/>
              <w:widowControl w:val="false"/>
              <w:spacing w:lineRule="auto" w:line="276"/>
              <w:jc w:val="both"/>
              <w:rPr>
                <w:b/>
                <w:b/>
                <w:sz w:val="22"/>
                <w:szCs w:val="22"/>
              </w:rPr>
            </w:pPr>
            <w:r>
              <w:rPr>
                <w:b/>
                <w:sz w:val="22"/>
                <w:szCs w:val="22"/>
              </w:rPr>
              <w:t>ОГРН 1165075051020, ИНН 5075029038, КПП 507501001;</w:t>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tabs>
                <w:tab w:val="clear" w:pos="708"/>
                <w:tab w:val="left" w:pos="4962" w:leader="none"/>
              </w:tabs>
              <w:spacing w:lineRule="auto" w:line="276"/>
              <w:jc w:val="both"/>
              <w:rPr>
                <w:b/>
                <w:b/>
                <w:sz w:val="21"/>
                <w:szCs w:val="21"/>
              </w:rPr>
            </w:pPr>
            <w:r>
              <w:rPr>
                <w:b/>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rPr>
                <w:sz w:val="21"/>
                <w:szCs w:val="21"/>
              </w:rPr>
            </w:pPr>
            <w:r>
              <w:rPr>
                <w:sz w:val="21"/>
                <w:szCs w:val="21"/>
              </w:rPr>
            </w:r>
          </w:p>
          <w:p>
            <w:pPr>
              <w:pStyle w:val="Normal"/>
              <w:widowControl w:val="false"/>
              <w:spacing w:lineRule="auto" w:line="276"/>
              <w:ind w:firstLine="34"/>
              <w:jc w:val="both"/>
              <w:rPr>
                <w:b/>
                <w:b/>
                <w:sz w:val="21"/>
                <w:szCs w:val="21"/>
              </w:rPr>
            </w:pPr>
            <w:r>
              <w:rPr>
                <w:sz w:val="21"/>
                <w:szCs w:val="21"/>
              </w:rPr>
              <w:t>____________________ /</w:t>
            </w:r>
            <w:r>
              <w:rPr>
                <w:b/>
                <w:sz w:val="21"/>
                <w:szCs w:val="21"/>
              </w:rPr>
              <w:t>Осадова Н.Е./</w:t>
            </w:r>
          </w:p>
          <w:p>
            <w:pPr>
              <w:pStyle w:val="Normal"/>
              <w:widowControl w:val="false"/>
              <w:spacing w:lineRule="auto" w:line="276"/>
              <w:jc w:val="center"/>
              <w:rPr>
                <w:sz w:val="21"/>
                <w:szCs w:val="21"/>
                <w:vertAlign w:val="subscript"/>
              </w:rPr>
            </w:pPr>
            <w:r>
              <w:rPr>
                <w:sz w:val="21"/>
                <w:szCs w:val="21"/>
                <w:vertAlign w:val="subscript"/>
              </w:rPr>
              <w:t>М.П.</w:t>
            </w:r>
          </w:p>
          <w:p>
            <w:pPr>
              <w:pStyle w:val="Normal"/>
              <w:widowControl w:val="false"/>
              <w:spacing w:lineRule="auto" w:line="276"/>
              <w:jc w:val="center"/>
              <w:rPr>
                <w:sz w:val="21"/>
                <w:szCs w:val="21"/>
                <w:highlight w:val="yellow"/>
                <w:vertAlign w:val="subscript"/>
              </w:rPr>
            </w:pPr>
            <w:r>
              <w:rPr>
                <w:sz w:val="21"/>
                <w:szCs w:val="21"/>
              </w:rPr>
              <w:t>«__» ____ 202_ года</w:t>
            </w:r>
          </w:p>
        </w:tc>
        <w:tc>
          <w:tcPr>
            <w:tcW w:w="5522" w:type="dxa"/>
            <w:tcBorders/>
          </w:tcPr>
          <w:p>
            <w:pPr>
              <w:pStyle w:val="Normal"/>
              <w:widowControl w:val="false"/>
              <w:spacing w:lineRule="auto" w:line="276"/>
              <w:ind w:left="133" w:hanging="0"/>
              <w:jc w:val="center"/>
              <w:rPr>
                <w:b/>
                <w:b/>
                <w:sz w:val="21"/>
                <w:szCs w:val="21"/>
                <w:u w:val="single"/>
              </w:rPr>
            </w:pPr>
            <w:r>
              <w:rPr>
                <w:b/>
                <w:sz w:val="21"/>
                <w:szCs w:val="21"/>
                <w:u w:val="single"/>
              </w:rPr>
              <w:t>Участник долевого строительства:</w:t>
            </w:r>
          </w:p>
          <w:p>
            <w:pPr>
              <w:pStyle w:val="Normal"/>
              <w:widowControl w:val="false"/>
              <w:spacing w:lineRule="auto" w:line="276"/>
              <w:ind w:left="133" w:hanging="0"/>
              <w:jc w:val="both"/>
              <w:rPr>
                <w:sz w:val="21"/>
                <w:szCs w:val="21"/>
              </w:rPr>
            </w:pPr>
            <w:r>
              <w:rPr>
                <w:b/>
                <w:sz w:val="21"/>
                <w:szCs w:val="21"/>
              </w:rPr>
              <w:t>Гражданин(ка) РФ</w:t>
            </w:r>
            <w:r>
              <w:rPr>
                <w:sz w:val="21"/>
                <w:szCs w:val="21"/>
              </w:rPr>
              <w:t xml:space="preserve"> ____________________, пол ____, __________года рождения, место рождения ______________, СНИЛС___________, паспорт ______________, выдан _____________________ ___________г., код подразделения: _________, зарегистрированный(ая)/ проживающий по адресу: индекс ___________________________</w:t>
            </w:r>
          </w:p>
          <w:p>
            <w:pPr>
              <w:pStyle w:val="Normal"/>
              <w:widowControl w:val="false"/>
              <w:spacing w:lineRule="auto" w:line="276"/>
              <w:ind w:left="133" w:hanging="0"/>
              <w:jc w:val="both"/>
              <w:rPr>
                <w:color w:val="000000"/>
                <w:sz w:val="21"/>
                <w:szCs w:val="21"/>
                <w:lang w:eastAsia="en-US"/>
              </w:rPr>
            </w:pPr>
            <w:r>
              <w:rPr>
                <w:b/>
                <w:i/>
                <w:color w:val="000000"/>
                <w:sz w:val="21"/>
                <w:szCs w:val="21"/>
              </w:rPr>
              <w:t>Адрес для корреспонденции:</w:t>
            </w:r>
            <w:r>
              <w:rPr>
                <w:color w:val="000000"/>
                <w:sz w:val="21"/>
                <w:szCs w:val="21"/>
              </w:rPr>
              <w:t xml:space="preserve"> </w:t>
            </w:r>
          </w:p>
          <w:p>
            <w:pPr>
              <w:pStyle w:val="Normal"/>
              <w:widowControl w:val="false"/>
              <w:spacing w:lineRule="auto" w:line="276"/>
              <w:ind w:left="133" w:hanging="0"/>
              <w:jc w:val="both"/>
              <w:textAlignment w:val="baseline"/>
              <w:rPr>
                <w:color w:val="000000"/>
                <w:sz w:val="21"/>
                <w:szCs w:val="21"/>
              </w:rPr>
            </w:pPr>
            <w:r>
              <w:rPr>
                <w:b/>
                <w:i/>
                <w:color w:val="000000"/>
                <w:sz w:val="21"/>
                <w:szCs w:val="21"/>
              </w:rPr>
              <w:t>Контактный телефон:</w:t>
            </w:r>
            <w:r>
              <w:rPr>
                <w:color w:val="000000"/>
                <w:sz w:val="21"/>
                <w:szCs w:val="21"/>
              </w:rPr>
              <w:t xml:space="preserve"> </w:t>
            </w:r>
          </w:p>
          <w:p>
            <w:pPr>
              <w:pStyle w:val="Normal"/>
              <w:widowControl w:val="false"/>
              <w:spacing w:lineRule="auto" w:line="276"/>
              <w:ind w:left="133" w:right="-387" w:hanging="0"/>
              <w:jc w:val="both"/>
              <w:rPr>
                <w:b/>
                <w:b/>
                <w:i/>
                <w:i/>
                <w:color w:val="000000"/>
                <w:sz w:val="21"/>
                <w:szCs w:val="21"/>
              </w:rPr>
            </w:pPr>
            <w:r>
              <w:rPr>
                <w:b/>
                <w:i/>
                <w:color w:val="000000"/>
                <w:sz w:val="21"/>
                <w:szCs w:val="21"/>
                <w:lang w:val="en-US"/>
              </w:rPr>
              <w:t>e-mail:</w:t>
            </w:r>
          </w:p>
          <w:p>
            <w:pPr>
              <w:pStyle w:val="Normal"/>
              <w:widowControl w:val="false"/>
              <w:spacing w:lineRule="auto" w:line="276"/>
              <w:ind w:left="133" w:right="-387" w:hanging="0"/>
              <w:jc w:val="both"/>
              <w:rPr>
                <w:b/>
                <w:b/>
                <w:sz w:val="21"/>
                <w:szCs w:val="21"/>
              </w:rPr>
            </w:pPr>
            <w:r>
              <w:rPr>
                <w:b/>
                <w:sz w:val="21"/>
                <w:szCs w:val="21"/>
              </w:rPr>
            </w:r>
          </w:p>
          <w:p>
            <w:pPr>
              <w:pStyle w:val="Normal"/>
              <w:widowControl w:val="false"/>
              <w:spacing w:lineRule="auto" w:line="276"/>
              <w:ind w:left="133" w:hanging="0"/>
              <w:jc w:val="both"/>
              <w:rPr>
                <w:b/>
                <w:b/>
                <w:sz w:val="21"/>
                <w:szCs w:val="21"/>
              </w:rPr>
            </w:pPr>
            <w:r>
              <w:rPr>
                <w:sz w:val="21"/>
                <w:szCs w:val="21"/>
              </w:rPr>
              <w:t>______________________ /</w:t>
            </w:r>
            <w:r>
              <w:rPr>
                <w:b/>
                <w:sz w:val="21"/>
                <w:szCs w:val="21"/>
              </w:rPr>
              <w:t>ФИО/</w:t>
            </w:r>
          </w:p>
          <w:p>
            <w:pPr>
              <w:pStyle w:val="Normal"/>
              <w:widowControl w:val="false"/>
              <w:spacing w:lineRule="auto" w:line="276"/>
              <w:ind w:left="133" w:hanging="0"/>
              <w:jc w:val="both"/>
              <w:rPr>
                <w:b/>
                <w:b/>
                <w:sz w:val="21"/>
                <w:szCs w:val="21"/>
              </w:rPr>
            </w:pPr>
            <w:r>
              <w:rPr>
                <w:b/>
                <w:sz w:val="21"/>
                <w:szCs w:val="21"/>
              </w:rPr>
            </w:r>
          </w:p>
          <w:p>
            <w:pPr>
              <w:pStyle w:val="Normal"/>
              <w:widowControl w:val="false"/>
              <w:spacing w:lineRule="auto" w:line="276"/>
              <w:ind w:left="133" w:hanging="0"/>
              <w:jc w:val="center"/>
              <w:rPr>
                <w:b/>
                <w:b/>
                <w:sz w:val="21"/>
                <w:szCs w:val="21"/>
              </w:rPr>
            </w:pPr>
            <w:r>
              <w:rPr>
                <w:sz w:val="21"/>
                <w:szCs w:val="21"/>
              </w:rPr>
              <w:t>«__» ____ 202_ года</w:t>
            </w:r>
          </w:p>
        </w:tc>
      </w:tr>
    </w:tbl>
    <w:p>
      <w:pPr>
        <w:pStyle w:val="Normal"/>
        <w:spacing w:before="0" w:after="0"/>
        <w:contextualSpacing/>
        <w:rPr>
          <w:b/>
          <w:b/>
          <w:bCs/>
          <w:sz w:val="22"/>
          <w:szCs w:val="22"/>
        </w:rPr>
      </w:pPr>
      <w:r>
        <w:rPr/>
      </w:r>
    </w:p>
    <w:sectPr>
      <w:footerReference w:type="default" r:id="rId17"/>
      <w:type w:val="nextPage"/>
      <w:pgSz w:w="12240" w:h="15840"/>
      <w:pgMar w:left="1134" w:right="616" w:header="0" w:top="284" w:footer="258" w:bottom="315"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false"/>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d36"/>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261431"/>
    <w:rPr>
      <w:rFonts w:ascii="Times New Roman" w:hAnsi="Times New Roman" w:eastAsia="Times New Roman"/>
      <w:sz w:val="24"/>
    </w:rPr>
  </w:style>
  <w:style w:type="character" w:styleId="Style15" w:customStyle="1">
    <w:name w:val="Нижний колонтитул Знак"/>
    <w:basedOn w:val="DefaultParagraphFont"/>
    <w:link w:val="a6"/>
    <w:uiPriority w:val="99"/>
    <w:qFormat/>
    <w:rsid w:val="0028065f"/>
    <w:rPr>
      <w:rFonts w:ascii="Times New Roman" w:hAnsi="Times New Roman" w:eastAsia="Times New Roman"/>
      <w:sz w:val="24"/>
      <w:szCs w:val="24"/>
    </w:rPr>
  </w:style>
  <w:style w:type="character" w:styleId="Style16" w:customStyle="1">
    <w:name w:val="Основной текст с отступом Знак"/>
    <w:basedOn w:val="DefaultParagraphFont"/>
    <w:link w:val="a7"/>
    <w:qFormat/>
    <w:rsid w:val="00492194"/>
    <w:rPr>
      <w:rFonts w:ascii="Times New Roman" w:hAnsi="Times New Roman"/>
      <w:sz w:val="24"/>
      <w:szCs w:val="24"/>
    </w:rPr>
  </w:style>
  <w:style w:type="character" w:styleId="Style17" w:customStyle="1">
    <w:name w:val="Текст выноски Знак"/>
    <w:basedOn w:val="DefaultParagraphFont"/>
    <w:link w:val="aa"/>
    <w:uiPriority w:val="99"/>
    <w:semiHidden/>
    <w:qFormat/>
    <w:rsid w:val="008a06b4"/>
    <w:rPr>
      <w:rFonts w:ascii="Tahoma" w:hAnsi="Tahoma" w:eastAsia="Times New Roman" w:cs="Tahoma"/>
      <w:sz w:val="16"/>
      <w:szCs w:val="16"/>
    </w:rPr>
  </w:style>
  <w:style w:type="character" w:styleId="Style18" w:customStyle="1">
    <w:name w:val="Верхний колонтитул Знак"/>
    <w:basedOn w:val="DefaultParagraphFont"/>
    <w:link w:val="ac"/>
    <w:uiPriority w:val="99"/>
    <w:semiHidden/>
    <w:qFormat/>
    <w:rsid w:val="00f21101"/>
    <w:rPr>
      <w:rFonts w:ascii="Times New Roman" w:hAnsi="Times New Roman" w:eastAsia="Times New Roman"/>
      <w:sz w:val="24"/>
      <w:szCs w:val="24"/>
    </w:rPr>
  </w:style>
  <w:style w:type="character" w:styleId="FontStyle17" w:customStyle="1">
    <w:name w:val="Font Style17"/>
    <w:basedOn w:val="DefaultParagraphFont"/>
    <w:qFormat/>
    <w:rsid w:val="00e84a31"/>
    <w:rPr>
      <w:rFonts w:ascii="Times New Roman" w:hAnsi="Times New Roman" w:cs="Times New Roman"/>
    </w:rPr>
  </w:style>
  <w:style w:type="character" w:styleId="Style19">
    <w:name w:val="Интернет-ссылка"/>
    <w:basedOn w:val="DefaultParagraphFont"/>
    <w:uiPriority w:val="99"/>
    <w:semiHidden/>
    <w:unhideWhenUsed/>
    <w:rsid w:val="00561948"/>
    <w:rPr>
      <w:color w:val="0000FF"/>
      <w:u w:val="single"/>
    </w:rPr>
  </w:style>
  <w:style w:type="character" w:styleId="Style20">
    <w:name w:val="Посещённая гиперссылка"/>
    <w:basedOn w:val="DefaultParagraphFont"/>
    <w:uiPriority w:val="99"/>
    <w:semiHidden/>
    <w:unhideWhenUsed/>
    <w:rsid w:val="00561948"/>
    <w:rPr>
      <w:color w:val="800080"/>
      <w:u w:val="single"/>
    </w:rPr>
  </w:style>
  <w:style w:type="character" w:styleId="Style21" w:customStyle="1">
    <w:name w:val="Текст примечания Знак"/>
    <w:basedOn w:val="DefaultParagraphFont"/>
    <w:link w:val="af1"/>
    <w:uiPriority w:val="99"/>
    <w:semiHidden/>
    <w:qFormat/>
    <w:rsid w:val="00ac1ce1"/>
    <w:rPr>
      <w:lang w:eastAsia="en-US"/>
    </w:rPr>
  </w:style>
  <w:style w:type="character" w:styleId="Style22" w:customStyle="1">
    <w:name w:val="Тема примечания Знак"/>
    <w:basedOn w:val="Style21"/>
    <w:link w:val="af4"/>
    <w:uiPriority w:val="99"/>
    <w:semiHidden/>
    <w:qFormat/>
    <w:rsid w:val="00ac1ce1"/>
    <w:rPr>
      <w:b/>
      <w:bCs/>
    </w:rPr>
  </w:style>
  <w:style w:type="character" w:styleId="CharStyle3" w:customStyle="1">
    <w:name w:val="Char Style 3"/>
    <w:link w:val="Style2"/>
    <w:qFormat/>
    <w:locked/>
    <w:rsid w:val="00ac1ce1"/>
    <w:rPr>
      <w:b/>
      <w:bCs/>
      <w:sz w:val="21"/>
      <w:szCs w:val="21"/>
      <w:shd w:fill="FFFFFF" w:val="clear"/>
    </w:rPr>
  </w:style>
  <w:style w:type="character" w:styleId="Style23" w:customStyle="1">
    <w:name w:val="Основной текст + Полужирный"/>
    <w:basedOn w:val="DefaultParagraphFont"/>
    <w:qFormat/>
    <w:rsid w:val="00905910"/>
    <w:rPr>
      <w:rFonts w:ascii="Times New Roman" w:hAnsi="Times New Roman" w:eastAsia="Times New Roman" w:cs="Times New Roman"/>
      <w:b/>
      <w:bCs/>
      <w:i w:val="false"/>
      <w:iCs w:val="false"/>
      <w:caps w:val="false"/>
      <w:smallCaps w:val="false"/>
      <w:strike w:val="false"/>
      <w:dstrike w:val="false"/>
      <w:spacing w:val="0"/>
      <w:sz w:val="23"/>
      <w:szCs w:val="23"/>
      <w:u w:val="none"/>
      <w:effect w:val="none"/>
    </w:rPr>
  </w:style>
  <w:style w:type="character" w:styleId="2" w:customStyle="1">
    <w:name w:val="Основной текст 2 Знак"/>
    <w:basedOn w:val="DefaultParagraphFont"/>
    <w:link w:val="2"/>
    <w:uiPriority w:val="99"/>
    <w:semiHidden/>
    <w:qFormat/>
    <w:rsid w:val="004b741d"/>
    <w:rPr>
      <w:rFonts w:ascii="Times New Roman" w:hAnsi="Times New Roman" w:eastAsia="Times New Roman"/>
      <w:sz w:val="24"/>
      <w:szCs w:val="24"/>
    </w:rPr>
  </w:style>
  <w:style w:type="character" w:styleId="Layout" w:customStyle="1">
    <w:name w:val="layout"/>
    <w:basedOn w:val="DefaultParagraphFont"/>
    <w:qFormat/>
    <w:rsid w:val="00c37941"/>
    <w:rPr/>
  </w:style>
  <w:style w:type="character" w:styleId="Blk" w:customStyle="1">
    <w:name w:val="blk"/>
    <w:basedOn w:val="DefaultParagraphFont"/>
    <w:qFormat/>
    <w:rsid w:val="00c37941"/>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261431"/>
    <w:pPr>
      <w:tabs>
        <w:tab w:val="clear" w:pos="708"/>
        <w:tab w:val="left" w:pos="0" w:leader="none"/>
      </w:tabs>
      <w:jc w:val="both"/>
    </w:pPr>
    <w:rPr>
      <w:szCs w:val="20"/>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Footer"/>
    <w:basedOn w:val="Normal"/>
    <w:link w:val="a5"/>
    <w:uiPriority w:val="99"/>
    <w:rsid w:val="0028065f"/>
    <w:pPr>
      <w:tabs>
        <w:tab w:val="clear" w:pos="708"/>
        <w:tab w:val="center" w:pos="4677" w:leader="none"/>
        <w:tab w:val="right" w:pos="9355" w:leader="none"/>
      </w:tabs>
    </w:pPr>
    <w:rPr/>
  </w:style>
  <w:style w:type="paragraph" w:styleId="Style31">
    <w:name w:val="Body Text Indent"/>
    <w:basedOn w:val="Normal"/>
    <w:link w:val="a8"/>
    <w:rsid w:val="00492194"/>
    <w:pPr>
      <w:spacing w:before="0" w:after="120"/>
      <w:ind w:left="283" w:hanging="0"/>
    </w:pPr>
    <w:rPr>
      <w:rFonts w:eastAsia="Calibri"/>
    </w:rPr>
  </w:style>
  <w:style w:type="paragraph" w:styleId="BalloonText">
    <w:name w:val="Balloon Text"/>
    <w:basedOn w:val="Normal"/>
    <w:link w:val="ab"/>
    <w:uiPriority w:val="99"/>
    <w:semiHidden/>
    <w:unhideWhenUsed/>
    <w:qFormat/>
    <w:rsid w:val="008a06b4"/>
    <w:pPr/>
    <w:rPr>
      <w:rFonts w:ascii="Tahoma" w:hAnsi="Tahoma" w:cs="Tahoma"/>
      <w:sz w:val="16"/>
      <w:szCs w:val="16"/>
    </w:rPr>
  </w:style>
  <w:style w:type="paragraph" w:styleId="Style32">
    <w:name w:val="Header"/>
    <w:basedOn w:val="Normal"/>
    <w:link w:val="ad"/>
    <w:uiPriority w:val="99"/>
    <w:semiHidden/>
    <w:unhideWhenUsed/>
    <w:rsid w:val="00f21101"/>
    <w:pPr>
      <w:tabs>
        <w:tab w:val="clear" w:pos="708"/>
        <w:tab w:val="center" w:pos="4677" w:leader="none"/>
        <w:tab w:val="right" w:pos="9355" w:leader="none"/>
      </w:tabs>
    </w:pPr>
    <w:rPr/>
  </w:style>
  <w:style w:type="paragraph" w:styleId="ListParagraph">
    <w:name w:val="List Paragraph"/>
    <w:basedOn w:val="Normal"/>
    <w:uiPriority w:val="34"/>
    <w:qFormat/>
    <w:rsid w:val="00e70797"/>
    <w:pPr>
      <w:spacing w:before="0" w:after="0"/>
      <w:ind w:left="720" w:hanging="0"/>
      <w:contextualSpacing/>
    </w:pPr>
    <w:rPr/>
  </w:style>
  <w:style w:type="paragraph" w:styleId="Xl47321" w:customStyle="1">
    <w:name w:val="xl47321"/>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2" w:customStyle="1">
    <w:name w:val="xl47322"/>
    <w:basedOn w:val="Normal"/>
    <w:qFormat/>
    <w:rsid w:val="00561948"/>
    <w:pPr>
      <w:shd w:val="clear" w:color="000000" w:fill="FFFFFF"/>
      <w:spacing w:beforeAutospacing="1" w:afterAutospacing="1"/>
      <w:textAlignment w:val="center"/>
    </w:pPr>
    <w:rPr/>
  </w:style>
  <w:style w:type="paragraph" w:styleId="Xl47323" w:customStyle="1">
    <w:name w:val="xl47323"/>
    <w:basedOn w:val="Normal"/>
    <w:qFormat/>
    <w:rsid w:val="00561948"/>
    <w:pPr>
      <w:shd w:val="clear" w:color="000000" w:fill="FFFFFF"/>
      <w:spacing w:beforeAutospacing="1" w:afterAutospacing="1"/>
    </w:pPr>
    <w:rPr/>
  </w:style>
  <w:style w:type="paragraph" w:styleId="Xl47324" w:customStyle="1">
    <w:name w:val="xl47324"/>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5" w:customStyle="1">
    <w:name w:val="xl47325"/>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6" w:customStyle="1">
    <w:name w:val="xl47326"/>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27" w:customStyle="1">
    <w:name w:val="xl47327"/>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8" w:customStyle="1">
    <w:name w:val="xl47328"/>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29" w:customStyle="1">
    <w:name w:val="xl47329"/>
    <w:basedOn w:val="Normal"/>
    <w:qFormat/>
    <w:rsid w:val="00561948"/>
    <w:pPr>
      <w:shd w:val="clear" w:color="000000" w:fill="FFFFFF"/>
      <w:spacing w:beforeAutospacing="1" w:afterAutospacing="1"/>
      <w:jc w:val="center"/>
    </w:pPr>
    <w:rPr/>
  </w:style>
  <w:style w:type="paragraph" w:styleId="Xl47330" w:customStyle="1">
    <w:name w:val="xl47330"/>
    <w:basedOn w:val="Normal"/>
    <w:qFormat/>
    <w:rsid w:val="00561948"/>
    <w:pPr>
      <w:shd w:val="clear" w:color="000000" w:fill="FFFFFF"/>
      <w:spacing w:beforeAutospacing="1" w:afterAutospacing="1"/>
      <w:jc w:val="right"/>
    </w:pPr>
    <w:rPr/>
  </w:style>
  <w:style w:type="paragraph" w:styleId="Xl47331" w:customStyle="1">
    <w:name w:val="xl47331"/>
    <w:basedOn w:val="Normal"/>
    <w:qFormat/>
    <w:rsid w:val="00561948"/>
    <w:pPr>
      <w:shd w:val="clear" w:color="000000" w:fill="FFFFFF"/>
      <w:spacing w:beforeAutospacing="1" w:afterAutospacing="1"/>
      <w:jc w:val="center"/>
      <w:textAlignment w:val="center"/>
    </w:pPr>
    <w:rPr/>
  </w:style>
  <w:style w:type="paragraph" w:styleId="Xl47332" w:customStyle="1">
    <w:name w:val="xl47332"/>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3" w:customStyle="1">
    <w:name w:val="xl47333"/>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4" w:customStyle="1">
    <w:name w:val="xl47334"/>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47335" w:customStyle="1">
    <w:name w:val="xl47335"/>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6" w:customStyle="1">
    <w:name w:val="xl47336"/>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7" w:customStyle="1">
    <w:name w:val="xl47337"/>
    <w:basedOn w:val="Normal"/>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47338" w:customStyle="1">
    <w:name w:val="xl47338"/>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39" w:customStyle="1">
    <w:name w:val="xl47339"/>
    <w:basedOn w:val="Normal"/>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47340" w:customStyle="1">
    <w:name w:val="xl47340"/>
    <w:basedOn w:val="Normal"/>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rPr/>
  </w:style>
  <w:style w:type="paragraph" w:styleId="Xl47341" w:customStyle="1">
    <w:name w:val="xl47341"/>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2" w:customStyle="1">
    <w:name w:val="xl47342"/>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3" w:customStyle="1">
    <w:name w:val="xl47343"/>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rPr/>
  </w:style>
  <w:style w:type="paragraph" w:styleId="Xl47344" w:customStyle="1">
    <w:name w:val="xl47344"/>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45" w:customStyle="1">
    <w:name w:val="xl47345"/>
    <w:basedOn w:val="Normal"/>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rPr/>
  </w:style>
  <w:style w:type="paragraph" w:styleId="Xl47346" w:customStyle="1">
    <w:name w:val="xl47346"/>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47347" w:customStyle="1">
    <w:name w:val="xl47347"/>
    <w:basedOn w:val="Normal"/>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47348" w:customStyle="1">
    <w:name w:val="xl47348"/>
    <w:basedOn w:val="Normal"/>
    <w:qFormat/>
    <w:rsid w:val="00561948"/>
    <w:pPr>
      <w:shd w:val="clear" w:color="000000" w:fill="FFFFFF"/>
      <w:spacing w:beforeAutospacing="1" w:afterAutospacing="1"/>
      <w:jc w:val="center"/>
      <w:textAlignment w:val="center"/>
    </w:pPr>
    <w:rPr>
      <w:b/>
      <w:bCs/>
      <w:color w:val="000000"/>
    </w:rPr>
  </w:style>
  <w:style w:type="paragraph" w:styleId="Xl47349" w:customStyle="1">
    <w:name w:val="xl47349"/>
    <w:basedOn w:val="Normal"/>
    <w:qFormat/>
    <w:rsid w:val="00561948"/>
    <w:pPr>
      <w:shd w:val="clear" w:color="000000" w:fill="FFFFFF"/>
      <w:spacing w:beforeAutospacing="1" w:afterAutospacing="1"/>
      <w:jc w:val="center"/>
      <w:textAlignment w:val="center"/>
    </w:pPr>
    <w:rPr>
      <w:b/>
      <w:bCs/>
      <w:color w:val="000000"/>
    </w:rPr>
  </w:style>
  <w:style w:type="paragraph" w:styleId="Xl47350" w:customStyle="1">
    <w:name w:val="xl47350"/>
    <w:basedOn w:val="Normal"/>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styleId="Xl47351" w:customStyle="1">
    <w:name w:val="xl47351"/>
    <w:basedOn w:val="Normal"/>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styleId="Xl47352" w:customStyle="1">
    <w:name w:val="xl47352"/>
    <w:basedOn w:val="Normal"/>
    <w:qFormat/>
    <w:rsid w:val="00561948"/>
    <w:pPr>
      <w:pBdr>
        <w:bottom w:val="single" w:sz="4" w:space="0" w:color="000000"/>
      </w:pBdr>
      <w:shd w:val="clear" w:color="000000" w:fill="FFFFFF"/>
      <w:spacing w:beforeAutospacing="1" w:afterAutospacing="1"/>
      <w:jc w:val="right"/>
      <w:textAlignment w:val="center"/>
    </w:pPr>
    <w:rPr>
      <w:b/>
      <w:bCs/>
    </w:rPr>
  </w:style>
  <w:style w:type="paragraph" w:styleId="Xl47353" w:customStyle="1">
    <w:name w:val="xl47353"/>
    <w:basedOn w:val="Normal"/>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styleId="Xl47354" w:customStyle="1">
    <w:name w:val="xl47354"/>
    <w:basedOn w:val="Normal"/>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styleId="Xl47355" w:customStyle="1">
    <w:name w:val="xl47355"/>
    <w:basedOn w:val="Normal"/>
    <w:qFormat/>
    <w:rsid w:val="00561948"/>
    <w:pPr>
      <w:pBdr>
        <w:top w:val="single" w:sz="4" w:space="0" w:color="000000"/>
      </w:pBdr>
      <w:shd w:val="clear" w:color="000000" w:fill="FFFFFF"/>
      <w:spacing w:beforeAutospacing="1" w:afterAutospacing="1"/>
      <w:textAlignment w:val="center"/>
    </w:pPr>
    <w:rPr>
      <w:b/>
      <w:bCs/>
      <w:color w:val="000000"/>
    </w:rPr>
  </w:style>
  <w:style w:type="paragraph" w:styleId="Xl47356" w:customStyle="1">
    <w:name w:val="xl47356"/>
    <w:basedOn w:val="Normal"/>
    <w:qFormat/>
    <w:rsid w:val="00561948"/>
    <w:pPr>
      <w:shd w:val="clear" w:color="000000" w:fill="FFFFFF"/>
      <w:spacing w:beforeAutospacing="1" w:afterAutospacing="1"/>
      <w:textAlignment w:val="center"/>
    </w:pPr>
    <w:rPr>
      <w:b/>
      <w:bCs/>
      <w:color w:val="000000"/>
    </w:rPr>
  </w:style>
  <w:style w:type="paragraph" w:styleId="ConsPlusNormal" w:customStyle="1">
    <w:name w:val="ConsPlusNormal"/>
    <w:uiPriority w:val="99"/>
    <w:qFormat/>
    <w:rsid w:val="00ac1ce1"/>
    <w:pPr>
      <w:widowControl w:val="false"/>
      <w:bidi w:val="0"/>
      <w:spacing w:before="0" w:after="0"/>
      <w:jc w:val="left"/>
    </w:pPr>
    <w:rPr>
      <w:rFonts w:eastAsia="Times New Roman" w:cs="Calibri" w:ascii="Calibri" w:hAnsi="Calibri"/>
      <w:color w:val="auto"/>
      <w:kern w:val="0"/>
      <w:sz w:val="22"/>
      <w:szCs w:val="20"/>
      <w:lang w:val="ru-RU" w:eastAsia="ru-RU" w:bidi="ar-SA"/>
    </w:rPr>
  </w:style>
  <w:style w:type="paragraph" w:styleId="ConsPlusNonformat" w:customStyle="1">
    <w:name w:val="ConsPlusNonformat"/>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ac1ce1"/>
    <w:pPr>
      <w:widowControl w:val="false"/>
      <w:bidi w:val="0"/>
      <w:spacing w:before="0" w:after="0"/>
      <w:jc w:val="left"/>
    </w:pPr>
    <w:rPr>
      <w:rFonts w:eastAsia="Times New Roman" w:cs="Calibri" w:ascii="Calibri" w:hAnsi="Calibri"/>
      <w:b/>
      <w:color w:val="auto"/>
      <w:kern w:val="0"/>
      <w:sz w:val="22"/>
      <w:szCs w:val="20"/>
      <w:lang w:val="ru-RU" w:eastAsia="ru-RU" w:bidi="ar-SA"/>
    </w:rPr>
  </w:style>
  <w:style w:type="paragraph" w:styleId="ConsPlusCell" w:customStyle="1">
    <w:name w:val="ConsPlusCell"/>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ac1ce1"/>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ac1ce1"/>
    <w:pPr>
      <w:widowControl w:val="fals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ac1ce1"/>
    <w:pPr>
      <w:widowControl w:val="false"/>
      <w:bidi w:val="0"/>
      <w:spacing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ac1ce1"/>
    <w:pPr>
      <w:widowControl w:val="false"/>
      <w:bidi w:val="0"/>
      <w:spacing w:before="0" w:after="0"/>
      <w:jc w:val="left"/>
    </w:pPr>
    <w:rPr>
      <w:rFonts w:ascii="Arial" w:hAnsi="Arial" w:eastAsia="Times New Roman" w:cs="Arial"/>
      <w:color w:val="auto"/>
      <w:kern w:val="0"/>
      <w:sz w:val="20"/>
      <w:szCs w:val="20"/>
      <w:lang w:val="ru-RU" w:eastAsia="ru-RU" w:bidi="ar-SA"/>
    </w:rPr>
  </w:style>
  <w:style w:type="paragraph" w:styleId="Annotationtext">
    <w:name w:val="annotation text"/>
    <w:basedOn w:val="Normal"/>
    <w:link w:val="af2"/>
    <w:uiPriority w:val="99"/>
    <w:semiHidden/>
    <w:unhideWhenUsed/>
    <w:qFormat/>
    <w:rsid w:val="00ac1ce1"/>
    <w:pPr>
      <w:spacing w:before="0" w:after="200"/>
    </w:pPr>
    <w:rPr>
      <w:rFonts w:ascii="Calibri" w:hAnsi="Calibri" w:eastAsia="Calibri"/>
      <w:sz w:val="20"/>
      <w:szCs w:val="20"/>
      <w:lang w:eastAsia="en-US"/>
    </w:rPr>
  </w:style>
  <w:style w:type="paragraph" w:styleId="Annotationsubject">
    <w:name w:val="annotation subject"/>
    <w:basedOn w:val="Annotationtext"/>
    <w:next w:val="Annotationtext"/>
    <w:link w:val="af3"/>
    <w:uiPriority w:val="99"/>
    <w:semiHidden/>
    <w:unhideWhenUsed/>
    <w:qFormat/>
    <w:rsid w:val="00ac1ce1"/>
    <w:pPr/>
    <w:rPr>
      <w:b/>
      <w:bCs/>
    </w:rPr>
  </w:style>
  <w:style w:type="paragraph" w:styleId="Style210" w:customStyle="1">
    <w:name w:val="Style 2"/>
    <w:basedOn w:val="Normal"/>
    <w:link w:val="CharStyle3"/>
    <w:qFormat/>
    <w:rsid w:val="00ac1ce1"/>
    <w:pPr>
      <w:widowControl w:val="false"/>
      <w:shd w:val="clear" w:color="auto" w:fill="FFFFFF"/>
      <w:spacing w:lineRule="atLeast" w:line="240" w:before="0" w:after="480"/>
      <w:outlineLvl w:val="0"/>
    </w:pPr>
    <w:rPr>
      <w:rFonts w:ascii="Calibri" w:hAnsi="Calibri" w:eastAsia="Calibri"/>
      <w:b/>
      <w:bCs/>
      <w:sz w:val="21"/>
      <w:szCs w:val="21"/>
    </w:rPr>
  </w:style>
  <w:style w:type="paragraph" w:styleId="BodyText2">
    <w:name w:val="Body Text 2"/>
    <w:basedOn w:val="Normal"/>
    <w:link w:val="20"/>
    <w:uiPriority w:val="99"/>
    <w:semiHidden/>
    <w:unhideWhenUsed/>
    <w:qFormat/>
    <w:rsid w:val="004b741d"/>
    <w:pPr>
      <w:spacing w:lineRule="auto" w:line="480" w:before="0" w:after="120"/>
    </w:pPr>
    <w:rPr/>
  </w:style>
  <w:style w:type="paragraph" w:styleId="Default" w:customStyle="1">
    <w:name w:val="Default"/>
    <w:qFormat/>
    <w:rsid w:val="0073197e"/>
    <w:pPr>
      <w:widowControl/>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ConsNonformat" w:customStyle="1">
    <w:name w:val="ConsNonformat"/>
    <w:uiPriority w:val="99"/>
    <w:qFormat/>
    <w:rsid w:val="006c27ce"/>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uiPriority w:val="99"/>
    <w:unhideWhenUsed/>
    <w:qFormat/>
    <w:rsid w:val="00c37941"/>
    <w:pPr>
      <w:spacing w:beforeAutospacing="1" w:afterAutospacing="1"/>
    </w:pPr>
    <w:rPr/>
  </w:style>
  <w:style w:type="paragraph" w:styleId="Msonormalmrcssattr" w:customStyle="1">
    <w:name w:val="msonormal_mr_css_attr"/>
    <w:basedOn w:val="Normal"/>
    <w:qFormat/>
    <w:rsid w:val="00c37941"/>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uiPriority w:val="59"/>
    <w:rsid w:val="00b80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nolit-str.ru/" TargetMode="External"/><Relationship Id="rId3" Type="http://schemas.openxmlformats.org/officeDocument/2006/relationships/hyperlink" Target="consultantplus://offline/ref=8859CB969D4F4CBC9941ECB6CA3F7ADB3FC53436B2ABC2BAFB284F3E78BEE580ECD394343B28E6653328M" TargetMode="External"/><Relationship Id="rId4" Type="http://schemas.openxmlformats.org/officeDocument/2006/relationships/hyperlink" Target="mailto:Escrow_Sberbank@sberbank.ru" TargetMode="External"/><Relationship Id="rId5" Type="http://schemas.openxmlformats.org/officeDocument/2006/relationships/hyperlink" Target="consultantplus://offline/ref=7ECC2853C9CFAEC8AAA9D448FAEED6635658BE1FA14696E55BFC4B0E0DA4DD1E69F51540B81E45D76D1E3582B5EEFDC8E89570A6f0r6J" TargetMode="External"/><Relationship Id="rId6" Type="http://schemas.openxmlformats.org/officeDocument/2006/relationships/hyperlink" Target="consultantplus://offline/ref=7ECC2853C9CFAEC8AAA9D448FAEED6635658BE1CAA4596E55BFC4B0E0DA4DD1E69F51547BB14148D7D1A7CD5B8F2FCD7F7966EA6065Bf1r7J" TargetMode="External"/><Relationship Id="rId7" Type="http://schemas.openxmlformats.org/officeDocument/2006/relationships/hyperlink" Target="consultantplus://offline/ref=7ECC2853C9CFAEC8AAA9D448FAEED6635658BE1CAA4596E55BFC4B0E0DA4DD1E69F51541B11E45D76D1E3582B5EEFDC8E89570A6f0r6J" TargetMode="External"/><Relationship Id="rId8" Type="http://schemas.openxmlformats.org/officeDocument/2006/relationships/hyperlink" Target="consultantplus://offline/ref=7ECC2853C9CFAEC8AAA9D448FAEED6635658BE1FA74196E55BFC4B0E0DA4DD1E69F51547BF101AD2780F6D8DB7F0E2C8F78972A404f5r9J" TargetMode="External"/><Relationship Id="rId9" Type="http://schemas.openxmlformats.org/officeDocument/2006/relationships/hyperlink" Target="consultantplus://offline/ref=7ECC2853C9CFAEC8AAA9D448FAEED6635658BE1FA74196E55BFC4B0E0DA4DD1E69F51544B815198620406CD1F1A5F1CBF68971A5185B17C9f7rAJ" TargetMode="External"/><Relationship Id="rId10" Type="http://schemas.openxmlformats.org/officeDocument/2006/relationships/hyperlink" Target="consultantplus://offline/ref=7ECC2853C9CFAEC8AAA9D448FAEED6635658BE1CAA4596E55BFC4B0E0DA4DD1E69F51542BE141AD2780F6D8DB7F0E2C8F78972A404f5r9J" TargetMode="External"/><Relationship Id="rId11" Type="http://schemas.openxmlformats.org/officeDocument/2006/relationships/hyperlink" Target="consultantplus://offline/ref=7ECC2853C9CFAEC8AAA9D448FAEED6635658BE1FA74196E55BFC4B0E0DA4DD1E69F51547BF101AD2780F6D8DB7F0E2C8F78972A404f5r9J" TargetMode="External"/><Relationship Id="rId12" Type="http://schemas.openxmlformats.org/officeDocument/2006/relationships/hyperlink" Target="consultantplus://offline/ref=7ECC2853C9CFAEC8AAA9D448FAEED6635658BE1FA74196E55BFC4B0E0DA4DD1E69F51544B815198620406CD1F1A5F1CBF68971A5185B17C9f7rAJ" TargetMode="External"/><Relationship Id="rId13" Type="http://schemas.openxmlformats.org/officeDocument/2006/relationships/hyperlink" Target="consultantplus://offline/ref=7ECC2853C9CFAEC8AAA9D448FAEED6635658BE1FA74196E55BFC4B0E0DA4DD1E69F51547BF101AD2780F6D8DB7F0E2C8F78972A404f5r9J"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15" Type="http://schemas.openxmlformats.org/officeDocument/2006/relationships/hyperlink" Target="consultantplus://offline/ref=7ECC2853C9CFAEC8AAA9D448FAEED6635658BE1FA74196E55BFC4B0E0DA4DD1E69F51544B815148E2D406CD1F1A5F1CBF68971A5185B17C9f7rAJ" TargetMode="External"/><Relationship Id="rId16" Type="http://schemas.openxmlformats.org/officeDocument/2006/relationships/hyperlink" Target="consultantplus://offline/ref=7ECC2853C9CFAEC8AAA9D448FAEED6635658BE1FA04096E55BFC4B0E0DA4DD1E69F51544B81411822C406CD1F1A5F1CBF68971A5185B17C9f7rAJ"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79DCC-4588-4302-9F1A-BB6BAD7A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ДДУ Ависта ПЕРВЫЙ</Template>
  <TotalTime>113</TotalTime>
  <Application>LibreOffice/7.0.0.3$Windows_X86_64 LibreOffice_project/8061b3e9204bef6b321a21033174034a5e2ea88e</Application>
  <Pages>13</Pages>
  <Words>6682</Words>
  <Characters>48506</Characters>
  <CharactersWithSpaces>55205</CharactersWithSpaces>
  <Paragraphs>284</Paragraphs>
  <Company>ЗАО Группа компаний "Жилищный капитал"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2020-11-20T12:58:00Z</dcterms:created>
  <dc:creator>o.kravchuk</dc:creator>
  <dc:description/>
  <dc:language>ru-RU</dc:language>
  <cp:lastModifiedBy/>
  <cp:lastPrinted>2017-06-21T14:26:00Z</cp:lastPrinted>
  <dcterms:modified xsi:type="dcterms:W3CDTF">2020-12-18T13:56:47Z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ЗАО Группа компаний "Жилищный капитал"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